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7E" w:rsidRPr="00366A7E" w:rsidRDefault="00366A7E" w:rsidP="00366A7E">
      <w:pPr>
        <w:pStyle w:val="NoSpacing"/>
        <w:tabs>
          <w:tab w:val="center" w:pos="4680"/>
        </w:tabs>
        <w:rPr>
          <w:rFonts w:eastAsiaTheme="minorEastAsia"/>
          <w:iCs/>
          <w:color w:val="000000" w:themeColor="text1"/>
          <w:kern w:val="24"/>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tbl>
      <w:tblPr>
        <w:tblStyle w:val="TableGrid"/>
        <w:tblW w:w="10440" w:type="dxa"/>
        <w:tblInd w:w="-635" w:type="dxa"/>
        <w:tblLook w:val="04A0" w:firstRow="1" w:lastRow="0" w:firstColumn="1" w:lastColumn="0" w:noHBand="0" w:noVBand="1"/>
      </w:tblPr>
      <w:tblGrid>
        <w:gridCol w:w="2160"/>
        <w:gridCol w:w="8280"/>
      </w:tblGrid>
      <w:tr w:rsidR="00366A7E" w:rsidRPr="00AF2527" w:rsidTr="00240235">
        <w:tc>
          <w:tcPr>
            <w:tcW w:w="2160" w:type="dxa"/>
            <w:shd w:val="clear" w:color="auto" w:fill="1F3864" w:themeFill="accent5" w:themeFillShade="80"/>
            <w:vAlign w:val="center"/>
          </w:tcPr>
          <w:p w:rsidR="00366A7E" w:rsidRPr="00AF2527" w:rsidRDefault="00366A7E" w:rsidP="00352509">
            <w:pPr>
              <w:pStyle w:val="NoSpacing"/>
              <w:jc w:val="both"/>
              <w:rPr>
                <w:rFonts w:eastAsiaTheme="minorEastAsia"/>
                <w:b/>
                <w:color w:val="FFFFFF" w:themeColor="background1"/>
                <w:kern w:val="24"/>
              </w:rPr>
            </w:pPr>
            <w:r>
              <w:rPr>
                <w:rFonts w:eastAsiaTheme="minorEastAsia"/>
                <w:b/>
                <w:color w:val="FFFFFF" w:themeColor="background1"/>
                <w:kern w:val="24"/>
              </w:rPr>
              <w:t>Attendees</w:t>
            </w:r>
          </w:p>
        </w:tc>
        <w:tc>
          <w:tcPr>
            <w:tcW w:w="8280" w:type="dxa"/>
            <w:shd w:val="clear" w:color="auto" w:fill="1F3864" w:themeFill="accent5" w:themeFillShade="80"/>
            <w:vAlign w:val="center"/>
          </w:tcPr>
          <w:p w:rsidR="00366A7E" w:rsidRPr="00AF2527" w:rsidRDefault="00366A7E" w:rsidP="00366A7E">
            <w:pPr>
              <w:pStyle w:val="NoSpacing"/>
              <w:rPr>
                <w:rFonts w:eastAsiaTheme="minorEastAsia"/>
                <w:b/>
                <w:color w:val="FFFFFF" w:themeColor="background1"/>
                <w:kern w:val="24"/>
              </w:rPr>
            </w:pPr>
          </w:p>
        </w:tc>
      </w:tr>
      <w:tr w:rsidR="00366A7E" w:rsidRPr="005E0EFB" w:rsidTr="00240235">
        <w:trPr>
          <w:trHeight w:val="620"/>
        </w:trPr>
        <w:tc>
          <w:tcPr>
            <w:tcW w:w="2160" w:type="dxa"/>
          </w:tcPr>
          <w:p w:rsidR="00366A7E" w:rsidRPr="005E0EFB" w:rsidRDefault="00366A7E" w:rsidP="00366A7E">
            <w:pPr>
              <w:pStyle w:val="NoSpacing"/>
              <w:ind w:right="162"/>
              <w:rPr>
                <w:rFonts w:eastAsiaTheme="minorEastAsia"/>
                <w:color w:val="000000" w:themeColor="text1"/>
                <w:kern w:val="24"/>
                <w:sz w:val="20"/>
                <w:szCs w:val="20"/>
              </w:rPr>
            </w:pPr>
            <w:r w:rsidRPr="005E0EFB">
              <w:rPr>
                <w:rFonts w:eastAsiaTheme="minorEastAsia"/>
                <w:color w:val="000000" w:themeColor="text1"/>
                <w:kern w:val="24"/>
                <w:sz w:val="20"/>
                <w:szCs w:val="20"/>
              </w:rPr>
              <w:t>Trustees / Directors Present:</w:t>
            </w:r>
          </w:p>
        </w:tc>
        <w:tc>
          <w:tcPr>
            <w:tcW w:w="8280" w:type="dxa"/>
          </w:tcPr>
          <w:p w:rsidR="00366A7E" w:rsidRPr="005E0EFB" w:rsidRDefault="00366A7E" w:rsidP="00366A7E">
            <w:pPr>
              <w:pStyle w:val="NoSpacing"/>
              <w:rPr>
                <w:rFonts w:eastAsiaTheme="minorEastAsia"/>
                <w:color w:val="000000" w:themeColor="text1"/>
                <w:kern w:val="24"/>
                <w:sz w:val="20"/>
                <w:szCs w:val="20"/>
              </w:rPr>
            </w:pPr>
            <w:r w:rsidRPr="005E0EFB">
              <w:rPr>
                <w:rFonts w:eastAsiaTheme="minorEastAsia"/>
                <w:color w:val="000000" w:themeColor="text1"/>
                <w:kern w:val="24"/>
                <w:sz w:val="20"/>
                <w:szCs w:val="20"/>
              </w:rPr>
              <w:t xml:space="preserve">F. Archambault, S. Cantor, R. Carbray, T. Holt, T. Kruger, and D. </w:t>
            </w:r>
            <w:proofErr w:type="spellStart"/>
            <w:r w:rsidRPr="005E0EFB">
              <w:rPr>
                <w:rFonts w:eastAsiaTheme="minorEastAsia"/>
                <w:color w:val="000000" w:themeColor="text1"/>
                <w:kern w:val="24"/>
                <w:sz w:val="20"/>
                <w:szCs w:val="20"/>
              </w:rPr>
              <w:t>Nayden</w:t>
            </w:r>
            <w:proofErr w:type="spellEnd"/>
          </w:p>
          <w:p w:rsidR="00366A7E" w:rsidRPr="005E0EFB" w:rsidRDefault="00366A7E" w:rsidP="00366A7E">
            <w:pPr>
              <w:pStyle w:val="NoSpacing"/>
              <w:rPr>
                <w:rFonts w:eastAsiaTheme="minorEastAsia"/>
                <w:color w:val="000000" w:themeColor="text1"/>
                <w:kern w:val="24"/>
                <w:sz w:val="20"/>
                <w:szCs w:val="20"/>
              </w:rPr>
            </w:pPr>
          </w:p>
        </w:tc>
      </w:tr>
      <w:tr w:rsidR="00366A7E" w:rsidRPr="005E0EFB" w:rsidTr="00E77D86">
        <w:trPr>
          <w:trHeight w:val="1655"/>
        </w:trPr>
        <w:tc>
          <w:tcPr>
            <w:tcW w:w="2160" w:type="dxa"/>
          </w:tcPr>
          <w:p w:rsidR="00366A7E" w:rsidRPr="005E0EFB" w:rsidRDefault="00366A7E" w:rsidP="00366A7E">
            <w:pPr>
              <w:pStyle w:val="NoSpacing"/>
              <w:ind w:right="162"/>
              <w:rPr>
                <w:rFonts w:eastAsiaTheme="minorEastAsia"/>
                <w:color w:val="000000" w:themeColor="text1"/>
                <w:kern w:val="24"/>
                <w:sz w:val="20"/>
                <w:szCs w:val="20"/>
              </w:rPr>
            </w:pPr>
            <w:r w:rsidRPr="005E0EFB">
              <w:rPr>
                <w:rFonts w:eastAsiaTheme="minorEastAsia"/>
                <w:color w:val="000000" w:themeColor="text1"/>
                <w:kern w:val="24"/>
                <w:sz w:val="20"/>
                <w:szCs w:val="20"/>
              </w:rPr>
              <w:t>Staff Present:</w:t>
            </w:r>
          </w:p>
        </w:tc>
        <w:tc>
          <w:tcPr>
            <w:tcW w:w="8280" w:type="dxa"/>
          </w:tcPr>
          <w:p w:rsidR="00366A7E" w:rsidRPr="005E0EFB" w:rsidRDefault="00366A7E" w:rsidP="00E77D86">
            <w:pPr>
              <w:pStyle w:val="NoSpacing"/>
              <w:jc w:val="both"/>
              <w:rPr>
                <w:rFonts w:eastAsiaTheme="minorEastAsia"/>
                <w:color w:val="000000" w:themeColor="text1"/>
                <w:kern w:val="24"/>
                <w:sz w:val="20"/>
                <w:szCs w:val="20"/>
              </w:rPr>
            </w:pPr>
            <w:r w:rsidRPr="005E0EFB">
              <w:rPr>
                <w:rFonts w:eastAsiaTheme="minorEastAsia"/>
                <w:color w:val="000000" w:themeColor="text1"/>
                <w:kern w:val="24"/>
                <w:sz w:val="20"/>
                <w:szCs w:val="20"/>
              </w:rPr>
              <w:t xml:space="preserve">M. </w:t>
            </w:r>
            <w:proofErr w:type="spellStart"/>
            <w:r w:rsidRPr="005E0EFB">
              <w:rPr>
                <w:rFonts w:eastAsiaTheme="minorEastAsia"/>
                <w:color w:val="000000" w:themeColor="text1"/>
                <w:kern w:val="24"/>
                <w:sz w:val="20"/>
                <w:szCs w:val="20"/>
              </w:rPr>
              <w:t>Accorsi</w:t>
            </w:r>
            <w:proofErr w:type="spellEnd"/>
            <w:r w:rsidRPr="005E0EFB">
              <w:rPr>
                <w:rFonts w:eastAsiaTheme="minorEastAsia"/>
                <w:color w:val="000000" w:themeColor="text1"/>
                <w:kern w:val="24"/>
                <w:sz w:val="20"/>
                <w:szCs w:val="20"/>
              </w:rPr>
              <w:t>, A. Agwunobi, C. Andrews, K. Bail</w:t>
            </w:r>
            <w:r w:rsidR="00E77D86">
              <w:rPr>
                <w:rFonts w:eastAsiaTheme="minorEastAsia"/>
                <w:color w:val="000000" w:themeColor="text1"/>
                <w:kern w:val="24"/>
                <w:sz w:val="20"/>
                <w:szCs w:val="20"/>
              </w:rPr>
              <w:t xml:space="preserve">ot, D. Barberi, C. Bianchi, J. </w:t>
            </w:r>
            <w:r w:rsidRPr="005E0EFB">
              <w:rPr>
                <w:rFonts w:eastAsiaTheme="minorEastAsia"/>
                <w:color w:val="000000" w:themeColor="text1"/>
                <w:kern w:val="24"/>
                <w:sz w:val="20"/>
                <w:szCs w:val="20"/>
              </w:rPr>
              <w:t>Blumenthal,</w:t>
            </w:r>
            <w:r w:rsidR="00E77D86">
              <w:rPr>
                <w:rFonts w:eastAsiaTheme="minorEastAsia"/>
                <w:color w:val="000000" w:themeColor="text1"/>
                <w:kern w:val="24"/>
                <w:sz w:val="20"/>
                <w:szCs w:val="20"/>
              </w:rPr>
              <w:t xml:space="preserve"> </w:t>
            </w:r>
            <w:r w:rsidRPr="005E0EFB">
              <w:rPr>
                <w:rFonts w:eastAsiaTheme="minorEastAsia"/>
                <w:color w:val="000000" w:themeColor="text1"/>
                <w:kern w:val="24"/>
                <w:sz w:val="20"/>
                <w:szCs w:val="20"/>
              </w:rPr>
              <w:t xml:space="preserve">J. Carroll, C. Chiaputti, A. Cretors, L. Cruickshank, P. DeMeo, A. Diamond, C. Eaton, K. Fearney, D. Galloway, J. Geoghegan, B. Gore, C. Gray, E. Hanyckyj, H. Hildebrandt, R. Hoagland, S. Jordan, A. </w:t>
            </w:r>
            <w:proofErr w:type="spellStart"/>
            <w:r w:rsidRPr="005E0EFB">
              <w:rPr>
                <w:rFonts w:eastAsiaTheme="minorEastAsia"/>
                <w:color w:val="000000" w:themeColor="text1"/>
                <w:kern w:val="24"/>
                <w:sz w:val="20"/>
                <w:szCs w:val="20"/>
              </w:rPr>
              <w:t>Keilty</w:t>
            </w:r>
            <w:proofErr w:type="spellEnd"/>
            <w:r w:rsidRPr="005E0EFB">
              <w:rPr>
                <w:rFonts w:eastAsiaTheme="minorEastAsia"/>
                <w:color w:val="000000" w:themeColor="text1"/>
                <w:kern w:val="24"/>
                <w:sz w:val="20"/>
                <w:szCs w:val="20"/>
              </w:rPr>
              <w:t xml:space="preserve">, R. Krinsky, K. Larsen, M. Larson, A. Marsh, I. Mauriello, P. McCarthy, J. McDonnell, C. Mitchell, M. Mundrane, T. Murphy, L. Neal, R. Orr, B. Patel, J. Pufahl, A. Quaresima, S. Reis, R. Rubin, J. Seemann, R. Simon, E. </w:t>
            </w:r>
            <w:proofErr w:type="spellStart"/>
            <w:r w:rsidRPr="005E0EFB">
              <w:rPr>
                <w:rFonts w:eastAsiaTheme="minorEastAsia"/>
                <w:color w:val="000000" w:themeColor="text1"/>
                <w:kern w:val="24"/>
                <w:sz w:val="20"/>
                <w:szCs w:val="20"/>
              </w:rPr>
              <w:t>Swindelles</w:t>
            </w:r>
            <w:proofErr w:type="spellEnd"/>
            <w:r w:rsidRPr="005E0EFB">
              <w:rPr>
                <w:rFonts w:eastAsiaTheme="minorEastAsia"/>
                <w:color w:val="000000" w:themeColor="text1"/>
                <w:kern w:val="24"/>
                <w:sz w:val="20"/>
                <w:szCs w:val="20"/>
              </w:rPr>
              <w:t>, E. Tripp, K. Violette, N. Wallach, S. Wetstone, A. Zehner, and E. Zincavage</w:t>
            </w:r>
          </w:p>
        </w:tc>
      </w:tr>
      <w:tr w:rsidR="00366A7E" w:rsidRPr="005E0EFB" w:rsidTr="00240235">
        <w:trPr>
          <w:trHeight w:val="458"/>
        </w:trPr>
        <w:tc>
          <w:tcPr>
            <w:tcW w:w="2160" w:type="dxa"/>
          </w:tcPr>
          <w:p w:rsidR="00366A7E" w:rsidRPr="005E0EFB" w:rsidRDefault="00366A7E" w:rsidP="00366A7E">
            <w:pPr>
              <w:pStyle w:val="NoSpacing"/>
              <w:ind w:right="162"/>
              <w:rPr>
                <w:rFonts w:eastAsiaTheme="minorEastAsia"/>
                <w:color w:val="000000" w:themeColor="text1"/>
                <w:kern w:val="24"/>
                <w:sz w:val="20"/>
                <w:szCs w:val="20"/>
              </w:rPr>
            </w:pPr>
            <w:r w:rsidRPr="005E0EFB">
              <w:rPr>
                <w:rFonts w:eastAsiaTheme="minorEastAsia"/>
                <w:color w:val="000000" w:themeColor="text1"/>
                <w:kern w:val="24"/>
                <w:sz w:val="20"/>
                <w:szCs w:val="20"/>
              </w:rPr>
              <w:t>State Auditors:</w:t>
            </w:r>
          </w:p>
        </w:tc>
        <w:tc>
          <w:tcPr>
            <w:tcW w:w="8280" w:type="dxa"/>
          </w:tcPr>
          <w:p w:rsidR="00366A7E" w:rsidRPr="005E0EFB" w:rsidRDefault="00366A7E" w:rsidP="00366A7E">
            <w:pPr>
              <w:pStyle w:val="NoSpacing"/>
              <w:rPr>
                <w:rFonts w:eastAsiaTheme="minorEastAsia"/>
                <w:color w:val="000000" w:themeColor="text1"/>
                <w:kern w:val="24"/>
                <w:sz w:val="20"/>
                <w:szCs w:val="20"/>
              </w:rPr>
            </w:pPr>
            <w:r w:rsidRPr="005E0EFB">
              <w:rPr>
                <w:rFonts w:eastAsiaTheme="minorEastAsia"/>
                <w:color w:val="000000" w:themeColor="text1"/>
                <w:kern w:val="24"/>
                <w:sz w:val="20"/>
                <w:szCs w:val="20"/>
              </w:rPr>
              <w:t>J. Carroll, N. Freitas, J. Rasimas, and G. Slupecki</w:t>
            </w:r>
          </w:p>
        </w:tc>
      </w:tr>
    </w:tbl>
    <w:p w:rsidR="00366A7E" w:rsidRPr="005E0EFB" w:rsidRDefault="00366A7E" w:rsidP="00366A7E">
      <w:pPr>
        <w:ind w:left="-540" w:right="-450"/>
        <w:jc w:val="both"/>
        <w:rPr>
          <w:sz w:val="20"/>
          <w:szCs w:val="20"/>
        </w:rPr>
      </w:pPr>
    </w:p>
    <w:p w:rsidR="00366A7E" w:rsidRPr="005E0EFB" w:rsidRDefault="00366A7E" w:rsidP="005E0EFB">
      <w:pPr>
        <w:spacing w:after="120"/>
        <w:ind w:left="-540" w:right="-270"/>
        <w:jc w:val="both"/>
        <w:rPr>
          <w:sz w:val="20"/>
          <w:szCs w:val="20"/>
        </w:rPr>
      </w:pPr>
      <w:r w:rsidRPr="005E0EFB">
        <w:rPr>
          <w:sz w:val="20"/>
          <w:szCs w:val="20"/>
        </w:rPr>
        <w:t xml:space="preserve">The meeting of the Joint Audit and Compliance Committee (JACC) was called to order at 10:03 a.m. by Trustee </w:t>
      </w:r>
      <w:proofErr w:type="spellStart"/>
      <w:r w:rsidRPr="005E0EFB">
        <w:rPr>
          <w:sz w:val="20"/>
          <w:szCs w:val="20"/>
        </w:rPr>
        <w:t>Nayden</w:t>
      </w:r>
      <w:proofErr w:type="spellEnd"/>
      <w:r w:rsidRPr="005E0EFB">
        <w:rPr>
          <w:sz w:val="20"/>
          <w:szCs w:val="20"/>
        </w:rPr>
        <w:t xml:space="preserve">.  </w:t>
      </w:r>
    </w:p>
    <w:p w:rsidR="00366A7E" w:rsidRPr="005E0EFB" w:rsidRDefault="00366A7E" w:rsidP="005E0EFB">
      <w:pPr>
        <w:spacing w:after="120"/>
        <w:ind w:left="-540" w:right="-270"/>
        <w:jc w:val="both"/>
        <w:rPr>
          <w:sz w:val="20"/>
          <w:szCs w:val="20"/>
        </w:rPr>
      </w:pPr>
      <w:r w:rsidRPr="005E0EFB">
        <w:rPr>
          <w:b/>
          <w:bCs/>
          <w:sz w:val="20"/>
          <w:szCs w:val="20"/>
        </w:rPr>
        <w:t xml:space="preserve">ON A MOTION </w:t>
      </w:r>
      <w:r w:rsidRPr="005E0EFB">
        <w:rPr>
          <w:sz w:val="20"/>
          <w:szCs w:val="20"/>
        </w:rPr>
        <w:t xml:space="preserve">made by Trustee </w:t>
      </w:r>
      <w:proofErr w:type="spellStart"/>
      <w:r w:rsidRPr="005E0EFB">
        <w:rPr>
          <w:sz w:val="20"/>
          <w:szCs w:val="20"/>
        </w:rPr>
        <w:t>Nayden</w:t>
      </w:r>
      <w:proofErr w:type="spellEnd"/>
      <w:r w:rsidRPr="005E0EFB">
        <w:rPr>
          <w:sz w:val="20"/>
          <w:szCs w:val="20"/>
        </w:rPr>
        <w:t xml:space="preserve"> and seconded by Director Archambault, THE JACC VOTED to go into executive session to discuss:</w:t>
      </w:r>
    </w:p>
    <w:p w:rsidR="00CE6C13" w:rsidRPr="005E0EFB" w:rsidRDefault="00CA76E2" w:rsidP="005E0EFB">
      <w:pPr>
        <w:numPr>
          <w:ilvl w:val="0"/>
          <w:numId w:val="3"/>
        </w:numPr>
        <w:tabs>
          <w:tab w:val="clear" w:pos="720"/>
          <w:tab w:val="num" w:pos="0"/>
        </w:tabs>
        <w:spacing w:after="120"/>
        <w:ind w:left="0" w:right="-270"/>
        <w:jc w:val="both"/>
        <w:rPr>
          <w:sz w:val="20"/>
          <w:szCs w:val="20"/>
        </w:rPr>
      </w:pPr>
      <w:r w:rsidRPr="005E0EFB">
        <w:rPr>
          <w:sz w:val="20"/>
          <w:szCs w:val="20"/>
        </w:rPr>
        <w:t>C.G.S. 1-200(6</w:t>
      </w:r>
      <w:proofErr w:type="gramStart"/>
      <w:r w:rsidRPr="005E0EFB">
        <w:rPr>
          <w:sz w:val="20"/>
          <w:szCs w:val="20"/>
        </w:rPr>
        <w:t>)[</w:t>
      </w:r>
      <w:proofErr w:type="gramEnd"/>
      <w:r w:rsidRPr="005E0EFB">
        <w:rPr>
          <w:sz w:val="20"/>
          <w:szCs w:val="20"/>
        </w:rPr>
        <w:t>E] –Preliminary drafts or notes that the University has determined the public’s interest in withholding outweighs the public’s interest in disclosure. [1-210(b)(1)]</w:t>
      </w:r>
    </w:p>
    <w:p w:rsidR="00CE6C13" w:rsidRPr="005E0EFB" w:rsidRDefault="00CA76E2" w:rsidP="005E0EFB">
      <w:pPr>
        <w:numPr>
          <w:ilvl w:val="0"/>
          <w:numId w:val="3"/>
        </w:numPr>
        <w:tabs>
          <w:tab w:val="clear" w:pos="720"/>
          <w:tab w:val="num" w:pos="0"/>
        </w:tabs>
        <w:spacing w:after="120"/>
        <w:ind w:left="0" w:right="-270"/>
        <w:jc w:val="both"/>
        <w:rPr>
          <w:sz w:val="20"/>
          <w:szCs w:val="20"/>
        </w:rPr>
      </w:pPr>
      <w:r w:rsidRPr="005E0EFB">
        <w:rPr>
          <w:sz w:val="20"/>
          <w:szCs w:val="20"/>
        </w:rPr>
        <w:t>C.G.S. 1-200(6</w:t>
      </w:r>
      <w:proofErr w:type="gramStart"/>
      <w:r w:rsidRPr="005E0EFB">
        <w:rPr>
          <w:sz w:val="20"/>
          <w:szCs w:val="20"/>
        </w:rPr>
        <w:t>)[</w:t>
      </w:r>
      <w:proofErr w:type="gramEnd"/>
      <w:r w:rsidRPr="005E0EFB">
        <w:rPr>
          <w:sz w:val="20"/>
          <w:szCs w:val="20"/>
        </w:rPr>
        <w:t>E] - Records or the information contained therein pertaining to strategy and negotiations with respect to pending claims regarding Recovery Audit Contractor (RAC) Audits. [1-210(b)(4)]</w:t>
      </w:r>
    </w:p>
    <w:p w:rsidR="00CE6C13" w:rsidRPr="005E0EFB" w:rsidRDefault="00CA76E2" w:rsidP="005E0EFB">
      <w:pPr>
        <w:numPr>
          <w:ilvl w:val="0"/>
          <w:numId w:val="3"/>
        </w:numPr>
        <w:tabs>
          <w:tab w:val="clear" w:pos="720"/>
          <w:tab w:val="num" w:pos="0"/>
        </w:tabs>
        <w:spacing w:after="120"/>
        <w:ind w:left="0" w:right="-270"/>
        <w:jc w:val="both"/>
        <w:rPr>
          <w:sz w:val="20"/>
          <w:szCs w:val="20"/>
        </w:rPr>
      </w:pPr>
      <w:r w:rsidRPr="005E0EFB">
        <w:rPr>
          <w:sz w:val="20"/>
          <w:szCs w:val="20"/>
        </w:rPr>
        <w:t>C.G.S. 1-200(6</w:t>
      </w:r>
      <w:proofErr w:type="gramStart"/>
      <w:r w:rsidRPr="005E0EFB">
        <w:rPr>
          <w:sz w:val="20"/>
          <w:szCs w:val="20"/>
        </w:rPr>
        <w:t>)[</w:t>
      </w:r>
      <w:proofErr w:type="gramEnd"/>
      <w:r w:rsidRPr="005E0EFB">
        <w:rPr>
          <w:sz w:val="20"/>
          <w:szCs w:val="20"/>
        </w:rPr>
        <w:t>E] - Records or the information contained therein pertaining to or communications privileged by the attorney-client relationship. [1-210(b)(10)]</w:t>
      </w:r>
    </w:p>
    <w:p w:rsidR="00CE6C13" w:rsidRPr="005E0EFB" w:rsidRDefault="00CA76E2" w:rsidP="005E0EFB">
      <w:pPr>
        <w:numPr>
          <w:ilvl w:val="0"/>
          <w:numId w:val="3"/>
        </w:numPr>
        <w:tabs>
          <w:tab w:val="clear" w:pos="720"/>
          <w:tab w:val="num" w:pos="0"/>
        </w:tabs>
        <w:spacing w:after="120"/>
        <w:ind w:left="0" w:right="-270"/>
        <w:jc w:val="both"/>
        <w:rPr>
          <w:sz w:val="20"/>
          <w:szCs w:val="20"/>
        </w:rPr>
      </w:pPr>
      <w:r w:rsidRPr="005E0EFB">
        <w:rPr>
          <w:sz w:val="20"/>
          <w:szCs w:val="20"/>
        </w:rPr>
        <w:t>C.G.S. 1-200(6</w:t>
      </w:r>
      <w:proofErr w:type="gramStart"/>
      <w:r w:rsidRPr="005E0EFB">
        <w:rPr>
          <w:sz w:val="20"/>
          <w:szCs w:val="20"/>
        </w:rPr>
        <w:t>)[</w:t>
      </w:r>
      <w:proofErr w:type="gramEnd"/>
      <w:r w:rsidRPr="005E0EFB">
        <w:rPr>
          <w:sz w:val="20"/>
          <w:szCs w:val="20"/>
        </w:rPr>
        <w:t>C] – Matters concerning standards, processes and codes not available to the public the disclosure of which would compromise the security of integrity of an information technology system. [1-210(b)(20)]</w:t>
      </w:r>
    </w:p>
    <w:p w:rsidR="00366A7E" w:rsidRPr="005E0EFB" w:rsidRDefault="00366A7E" w:rsidP="005E0EFB">
      <w:pPr>
        <w:spacing w:after="120"/>
        <w:ind w:left="-540" w:right="-270"/>
        <w:jc w:val="both"/>
        <w:rPr>
          <w:sz w:val="20"/>
          <w:szCs w:val="20"/>
        </w:rPr>
      </w:pPr>
      <w:r w:rsidRPr="005E0EFB">
        <w:rPr>
          <w:sz w:val="20"/>
          <w:szCs w:val="20"/>
        </w:rPr>
        <w:t xml:space="preserve">Executive Session was attended by Joint Audit &amp; Compliance </w:t>
      </w:r>
      <w:r w:rsidRPr="005E0EFB">
        <w:rPr>
          <w:b/>
          <w:bCs/>
          <w:sz w:val="20"/>
          <w:szCs w:val="20"/>
        </w:rPr>
        <w:t>Committee Members:</w:t>
      </w:r>
      <w:r w:rsidRPr="005E0EFB">
        <w:rPr>
          <w:sz w:val="20"/>
          <w:szCs w:val="20"/>
        </w:rPr>
        <w:t xml:space="preserve"> F. Archambault, S. Cantor, R. Carbray, T. Holt, T. Kruger and D. </w:t>
      </w:r>
      <w:proofErr w:type="spellStart"/>
      <w:r w:rsidRPr="005E0EFB">
        <w:rPr>
          <w:sz w:val="20"/>
          <w:szCs w:val="20"/>
        </w:rPr>
        <w:t>Nayden</w:t>
      </w:r>
      <w:proofErr w:type="spellEnd"/>
      <w:r w:rsidRPr="005E0EFB">
        <w:rPr>
          <w:sz w:val="20"/>
          <w:szCs w:val="20"/>
        </w:rPr>
        <w:t xml:space="preserve">; </w:t>
      </w:r>
      <w:r w:rsidRPr="005E0EFB">
        <w:rPr>
          <w:b/>
          <w:bCs/>
          <w:sz w:val="20"/>
          <w:szCs w:val="20"/>
        </w:rPr>
        <w:t>OACE Staff members:</w:t>
      </w:r>
      <w:r w:rsidRPr="005E0EFB">
        <w:rPr>
          <w:sz w:val="20"/>
          <w:szCs w:val="20"/>
        </w:rPr>
        <w:t xml:space="preserve"> K. Bailot, D. Barberi, C. Chiaputti, P. DeMeo, K. Fearney, D. Galloway, C. Gray, H. Hildebrandt, R. Krinsky, A. Marsh, I. Mauriello, J. McDonnell, L. Neal, A. Quaresima, K. Violette, and E. Zincavage; </w:t>
      </w:r>
      <w:r w:rsidRPr="005E0EFB">
        <w:rPr>
          <w:b/>
          <w:bCs/>
          <w:sz w:val="20"/>
          <w:szCs w:val="20"/>
        </w:rPr>
        <w:t>Senior Staff:</w:t>
      </w:r>
      <w:r w:rsidRPr="005E0EFB">
        <w:rPr>
          <w:sz w:val="20"/>
          <w:szCs w:val="20"/>
        </w:rPr>
        <w:t xml:space="preserve"> A. Agwunobi, J. Geoghegan, S. Jordan, S. Reis, R. Rubin, and J. Seemann; </w:t>
      </w:r>
      <w:r w:rsidRPr="005E0EFB">
        <w:rPr>
          <w:b/>
          <w:bCs/>
          <w:sz w:val="20"/>
          <w:szCs w:val="20"/>
        </w:rPr>
        <w:t xml:space="preserve">General Counsel: </w:t>
      </w:r>
      <w:r w:rsidRPr="005E0EFB">
        <w:rPr>
          <w:sz w:val="20"/>
          <w:szCs w:val="20"/>
        </w:rPr>
        <w:t xml:space="preserve">R. Orr; </w:t>
      </w:r>
      <w:r w:rsidRPr="005E0EFB">
        <w:rPr>
          <w:b/>
          <w:bCs/>
          <w:sz w:val="20"/>
          <w:szCs w:val="20"/>
        </w:rPr>
        <w:t xml:space="preserve">Asst. Attorney General: </w:t>
      </w:r>
      <w:r w:rsidRPr="005E0EFB">
        <w:rPr>
          <w:sz w:val="20"/>
          <w:szCs w:val="20"/>
        </w:rPr>
        <w:t xml:space="preserve">J. Blumenthal; </w:t>
      </w:r>
      <w:r w:rsidRPr="005E0EFB">
        <w:rPr>
          <w:b/>
          <w:bCs/>
          <w:sz w:val="20"/>
          <w:szCs w:val="20"/>
        </w:rPr>
        <w:t>Portions of Executive Session were also attended by:</w:t>
      </w:r>
      <w:r w:rsidRPr="005E0EFB">
        <w:rPr>
          <w:sz w:val="20"/>
          <w:szCs w:val="20"/>
        </w:rPr>
        <w:t xml:space="preserve"> M. </w:t>
      </w:r>
      <w:proofErr w:type="spellStart"/>
      <w:r w:rsidRPr="005E0EFB">
        <w:rPr>
          <w:sz w:val="20"/>
          <w:szCs w:val="20"/>
        </w:rPr>
        <w:t>Accorsi</w:t>
      </w:r>
      <w:proofErr w:type="spellEnd"/>
      <w:r w:rsidRPr="005E0EFB">
        <w:rPr>
          <w:sz w:val="20"/>
          <w:szCs w:val="20"/>
        </w:rPr>
        <w:t xml:space="preserve">, S. Allen, C. Andrews, J. Carroll, A. Cretors, A. Diamond, K. Larsen, P. McCarthy, M. Mundrane, T. Murphy, and J. Pufahl, R. Simon, E. </w:t>
      </w:r>
      <w:proofErr w:type="spellStart"/>
      <w:r w:rsidRPr="005E0EFB">
        <w:rPr>
          <w:sz w:val="20"/>
          <w:szCs w:val="20"/>
        </w:rPr>
        <w:t>Swindelles</w:t>
      </w:r>
      <w:proofErr w:type="spellEnd"/>
      <w:r w:rsidRPr="005E0EFB">
        <w:rPr>
          <w:sz w:val="20"/>
          <w:szCs w:val="20"/>
        </w:rPr>
        <w:t>, E. Tripp, N. Wallach, and A. Zehner.</w:t>
      </w:r>
    </w:p>
    <w:p w:rsidR="00366A7E" w:rsidRPr="005E0EFB" w:rsidRDefault="00366A7E" w:rsidP="005E0EFB">
      <w:pPr>
        <w:spacing w:after="120"/>
        <w:ind w:left="-540" w:right="-270"/>
        <w:jc w:val="both"/>
        <w:rPr>
          <w:sz w:val="20"/>
          <w:szCs w:val="20"/>
        </w:rPr>
      </w:pPr>
      <w:r w:rsidRPr="005E0EFB">
        <w:rPr>
          <w:sz w:val="20"/>
          <w:szCs w:val="20"/>
        </w:rPr>
        <w:t>The Executive Session ended at 10:50 a.m. and the JACC returned to open session at 10:55 a.m.</w:t>
      </w:r>
    </w:p>
    <w:p w:rsidR="005E0EFB" w:rsidRDefault="00366A7E" w:rsidP="005E0EFB">
      <w:pPr>
        <w:spacing w:after="120"/>
        <w:ind w:left="-540" w:right="-270"/>
        <w:jc w:val="both"/>
        <w:rPr>
          <w:sz w:val="20"/>
          <w:szCs w:val="20"/>
        </w:rPr>
      </w:pPr>
      <w:r w:rsidRPr="005E0EFB">
        <w:rPr>
          <w:sz w:val="20"/>
          <w:szCs w:val="20"/>
        </w:rPr>
        <w:t xml:space="preserve">There were no public comments. </w:t>
      </w:r>
    </w:p>
    <w:p w:rsidR="005E0EFB" w:rsidRDefault="005E0EFB" w:rsidP="005E0EFB">
      <w:pPr>
        <w:spacing w:after="120"/>
        <w:ind w:left="-540" w:right="-270"/>
        <w:jc w:val="both"/>
        <w:rPr>
          <w:rFonts w:eastAsiaTheme="minorEastAsia" w:hAnsi="Gill Sans MT"/>
          <w:b/>
          <w:bCs/>
          <w:color w:val="000000" w:themeColor="text1"/>
          <w:kern w:val="24"/>
          <w:sz w:val="20"/>
          <w:szCs w:val="20"/>
          <w:u w:val="single"/>
        </w:rPr>
      </w:pPr>
    </w:p>
    <w:p w:rsidR="005E0EFB" w:rsidRDefault="005E0EFB" w:rsidP="005E0EFB">
      <w:pPr>
        <w:spacing w:after="120"/>
        <w:ind w:left="-540" w:right="-270"/>
        <w:jc w:val="both"/>
        <w:rPr>
          <w:rFonts w:eastAsiaTheme="minorEastAsia" w:hAnsi="Gill Sans MT"/>
          <w:b/>
          <w:bCs/>
          <w:color w:val="000000" w:themeColor="text1"/>
          <w:kern w:val="24"/>
          <w:sz w:val="20"/>
          <w:szCs w:val="20"/>
          <w:u w:val="single"/>
        </w:rPr>
      </w:pPr>
      <w:r>
        <w:rPr>
          <w:rFonts w:eastAsiaTheme="minorEastAsia" w:hAnsi="Gill Sans MT"/>
          <w:b/>
          <w:bCs/>
          <w:color w:val="000000" w:themeColor="text1"/>
          <w:kern w:val="24"/>
          <w:sz w:val="20"/>
          <w:szCs w:val="20"/>
          <w:u w:val="single"/>
        </w:rPr>
        <w:t xml:space="preserve">Tab 1 </w:t>
      </w:r>
      <w:r>
        <w:rPr>
          <w:rFonts w:eastAsiaTheme="minorEastAsia" w:hAnsi="Gill Sans MT"/>
          <w:b/>
          <w:bCs/>
          <w:color w:val="000000" w:themeColor="text1"/>
          <w:kern w:val="24"/>
          <w:sz w:val="20"/>
          <w:szCs w:val="20"/>
          <w:u w:val="single"/>
        </w:rPr>
        <w:t>–</w:t>
      </w:r>
      <w:r>
        <w:rPr>
          <w:rFonts w:eastAsiaTheme="minorEastAsia" w:hAnsi="Gill Sans MT"/>
          <w:b/>
          <w:bCs/>
          <w:color w:val="000000" w:themeColor="text1"/>
          <w:kern w:val="24"/>
          <w:sz w:val="20"/>
          <w:szCs w:val="20"/>
          <w:u w:val="single"/>
        </w:rPr>
        <w:t xml:space="preserve"> Minutes of the Meeting</w:t>
      </w:r>
    </w:p>
    <w:p w:rsidR="005E0EFB" w:rsidRDefault="005E0EFB" w:rsidP="005E0EFB">
      <w:pPr>
        <w:spacing w:after="120"/>
        <w:ind w:left="-180" w:right="-270"/>
        <w:jc w:val="both"/>
        <w:rPr>
          <w:rFonts w:eastAsiaTheme="minorEastAsia" w:hAnsi="Gill Sans MT"/>
          <w:color w:val="000000" w:themeColor="text1"/>
          <w:kern w:val="24"/>
          <w:sz w:val="20"/>
          <w:szCs w:val="20"/>
        </w:rPr>
      </w:pPr>
      <w:r>
        <w:rPr>
          <w:rFonts w:eastAsiaTheme="minorEastAsia" w:hAnsi="Gill Sans MT"/>
          <w:b/>
          <w:bCs/>
          <w:color w:val="000000" w:themeColor="text1"/>
          <w:kern w:val="24"/>
          <w:sz w:val="20"/>
          <w:szCs w:val="20"/>
        </w:rPr>
        <w:t xml:space="preserve">ON A MOTION </w:t>
      </w:r>
      <w:r>
        <w:rPr>
          <w:rFonts w:eastAsiaTheme="minorEastAsia" w:hAnsi="Gill Sans MT"/>
          <w:color w:val="000000" w:themeColor="text1"/>
          <w:kern w:val="24"/>
          <w:sz w:val="20"/>
          <w:szCs w:val="20"/>
        </w:rPr>
        <w:t xml:space="preserve">made by Trustee </w:t>
      </w:r>
      <w:proofErr w:type="spellStart"/>
      <w:r>
        <w:rPr>
          <w:rFonts w:eastAsiaTheme="minorEastAsia" w:hAnsi="Gill Sans MT"/>
          <w:color w:val="000000" w:themeColor="text1"/>
          <w:kern w:val="24"/>
          <w:sz w:val="20"/>
          <w:szCs w:val="20"/>
        </w:rPr>
        <w:t>Nayden</w:t>
      </w:r>
      <w:proofErr w:type="spellEnd"/>
      <w:r>
        <w:rPr>
          <w:rFonts w:eastAsiaTheme="minorEastAsia" w:hAnsi="Gill Sans MT"/>
          <w:color w:val="000000" w:themeColor="text1"/>
          <w:kern w:val="24"/>
          <w:sz w:val="20"/>
          <w:szCs w:val="20"/>
        </w:rPr>
        <w:t xml:space="preserve"> and seconded by Trustee Cantor the minutes of the May 7, 2015, JACC meeting were approved.</w:t>
      </w:r>
    </w:p>
    <w:p w:rsidR="005E0EFB" w:rsidRDefault="005E0EFB" w:rsidP="005E0EFB">
      <w:pPr>
        <w:spacing w:after="120"/>
        <w:ind w:left="-540" w:right="-270"/>
        <w:jc w:val="both"/>
        <w:rPr>
          <w:rFonts w:eastAsiaTheme="minorEastAsia" w:hAnsi="Gill Sans MT"/>
          <w:b/>
          <w:bCs/>
          <w:color w:val="000000"/>
          <w:kern w:val="24"/>
          <w:sz w:val="20"/>
          <w:szCs w:val="20"/>
          <w:u w:val="single"/>
        </w:rPr>
      </w:pPr>
    </w:p>
    <w:p w:rsidR="005E0EFB" w:rsidRDefault="005E0EFB" w:rsidP="005E0EFB">
      <w:pPr>
        <w:spacing w:after="120"/>
        <w:ind w:left="-540" w:right="-270"/>
        <w:jc w:val="both"/>
        <w:rPr>
          <w:rFonts w:eastAsiaTheme="minorEastAsia"/>
          <w:b/>
          <w:bCs/>
          <w:color w:val="000000"/>
          <w:kern w:val="24"/>
          <w:sz w:val="20"/>
          <w:szCs w:val="20"/>
          <w:u w:val="single"/>
        </w:rPr>
      </w:pPr>
    </w:p>
    <w:p w:rsidR="005E0EFB" w:rsidRPr="005E0EFB" w:rsidRDefault="005E0EFB" w:rsidP="005E0EFB">
      <w:pPr>
        <w:spacing w:after="120"/>
        <w:ind w:left="-540" w:right="-270"/>
        <w:jc w:val="both"/>
        <w:rPr>
          <w:rFonts w:eastAsiaTheme="minorEastAsia"/>
          <w:b/>
          <w:bCs/>
          <w:color w:val="000000"/>
          <w:kern w:val="24"/>
          <w:sz w:val="20"/>
          <w:szCs w:val="20"/>
          <w:u w:val="single"/>
        </w:rPr>
      </w:pPr>
    </w:p>
    <w:p w:rsidR="00240235" w:rsidRDefault="00240235" w:rsidP="005E0EFB">
      <w:pPr>
        <w:spacing w:after="120"/>
        <w:ind w:left="-540" w:right="-270"/>
        <w:jc w:val="both"/>
        <w:rPr>
          <w:rFonts w:eastAsiaTheme="minorEastAsia"/>
          <w:b/>
          <w:bCs/>
          <w:color w:val="000000"/>
          <w:kern w:val="24"/>
          <w:sz w:val="20"/>
          <w:szCs w:val="20"/>
          <w:u w:val="single"/>
        </w:rPr>
      </w:pPr>
    </w:p>
    <w:p w:rsidR="00E77D86" w:rsidRDefault="00E77D86" w:rsidP="005E0EFB">
      <w:pPr>
        <w:spacing w:after="120"/>
        <w:ind w:left="-540" w:right="-270"/>
        <w:jc w:val="both"/>
        <w:rPr>
          <w:rFonts w:eastAsiaTheme="minorEastAsia"/>
          <w:b/>
          <w:bCs/>
          <w:color w:val="000000"/>
          <w:kern w:val="24"/>
          <w:sz w:val="20"/>
          <w:szCs w:val="20"/>
          <w:u w:val="single"/>
        </w:rPr>
      </w:pPr>
    </w:p>
    <w:p w:rsidR="005E0EFB" w:rsidRPr="005E0EFB" w:rsidRDefault="005E0EFB" w:rsidP="005E0EFB">
      <w:pPr>
        <w:spacing w:after="120"/>
        <w:ind w:left="-540" w:right="-270"/>
        <w:jc w:val="both"/>
        <w:rPr>
          <w:sz w:val="20"/>
          <w:szCs w:val="20"/>
        </w:rPr>
      </w:pPr>
      <w:r w:rsidRPr="005E0EFB">
        <w:rPr>
          <w:rFonts w:eastAsiaTheme="minorEastAsia"/>
          <w:b/>
          <w:bCs/>
          <w:color w:val="000000"/>
          <w:kern w:val="24"/>
          <w:sz w:val="20"/>
          <w:szCs w:val="20"/>
          <w:u w:val="single"/>
        </w:rPr>
        <w:t>TAB 2 – Storrs &amp; UConn Health Significant Compliance Activities</w:t>
      </w:r>
    </w:p>
    <w:p w:rsidR="005E0EFB" w:rsidRPr="005E0EFB" w:rsidRDefault="005E0EFB" w:rsidP="005E0EFB">
      <w:pPr>
        <w:pStyle w:val="NormalWeb"/>
        <w:spacing w:before="0" w:beforeAutospacing="0" w:after="120" w:afterAutospacing="0"/>
        <w:ind w:left="-180"/>
        <w:jc w:val="both"/>
        <w:rPr>
          <w:rFonts w:asciiTheme="minorHAnsi" w:hAnsiTheme="minorHAnsi"/>
        </w:rPr>
      </w:pPr>
      <w:r w:rsidRPr="005E0EFB">
        <w:rPr>
          <w:rFonts w:asciiTheme="minorHAnsi" w:eastAsiaTheme="minorEastAsia" w:hAnsiTheme="minorHAnsi" w:cstheme="minorBidi"/>
          <w:color w:val="000000" w:themeColor="text1"/>
          <w:kern w:val="24"/>
          <w:sz w:val="20"/>
          <w:szCs w:val="20"/>
        </w:rPr>
        <w:t xml:space="preserve">K. Fearney and I. Mauriello provided an update on significant compliance activities. </w:t>
      </w:r>
    </w:p>
    <w:p w:rsidR="005E0EFB" w:rsidRPr="005E0EFB" w:rsidRDefault="005E0EFB" w:rsidP="005E0EFB">
      <w:pPr>
        <w:pStyle w:val="NormalWeb"/>
        <w:spacing w:before="0" w:beforeAutospacing="0" w:after="120" w:afterAutospacing="0"/>
        <w:ind w:left="-180"/>
        <w:jc w:val="both"/>
        <w:rPr>
          <w:rFonts w:asciiTheme="minorHAnsi" w:hAnsiTheme="minorHAnsi"/>
        </w:rPr>
      </w:pPr>
      <w:r w:rsidRPr="005E0EFB">
        <w:rPr>
          <w:rFonts w:asciiTheme="minorHAnsi" w:eastAsiaTheme="minorEastAsia" w:hAnsiTheme="minorHAnsi" w:cstheme="minorBidi"/>
          <w:color w:val="000000" w:themeColor="text1"/>
          <w:kern w:val="24"/>
          <w:sz w:val="20"/>
          <w:szCs w:val="20"/>
        </w:rPr>
        <w:t>J. Pufahl updated the committee on the data exposure in the School of Engineering.</w:t>
      </w:r>
    </w:p>
    <w:p w:rsidR="005E0EFB" w:rsidRPr="005E0EFB" w:rsidRDefault="005E0EFB" w:rsidP="005E0EFB">
      <w:pPr>
        <w:pStyle w:val="NormalWeb"/>
        <w:spacing w:before="0" w:beforeAutospacing="0" w:after="120" w:afterAutospacing="0"/>
        <w:ind w:left="-180"/>
        <w:jc w:val="both"/>
        <w:rPr>
          <w:rFonts w:asciiTheme="minorHAnsi" w:hAnsiTheme="minorHAnsi"/>
        </w:rPr>
      </w:pPr>
      <w:r w:rsidRPr="005E0EFB">
        <w:rPr>
          <w:rFonts w:asciiTheme="minorHAnsi" w:eastAsiaTheme="minorEastAsia" w:hAnsiTheme="minorHAnsi" w:cstheme="minorBidi"/>
          <w:color w:val="000000" w:themeColor="text1"/>
          <w:kern w:val="24"/>
          <w:sz w:val="20"/>
          <w:szCs w:val="20"/>
        </w:rPr>
        <w:t xml:space="preserve">A. Cretors and P. McCarthy presented the committee with an update on NCAA Compliance activities as well as various topics impacting the NCAA.  </w:t>
      </w:r>
    </w:p>
    <w:p w:rsidR="005E0EFB" w:rsidRPr="005E0EFB" w:rsidRDefault="005E0EFB" w:rsidP="005E0EFB">
      <w:pPr>
        <w:pStyle w:val="NormalWeb"/>
        <w:spacing w:before="0" w:beforeAutospacing="0" w:after="120" w:afterAutospacing="0"/>
        <w:ind w:left="-180"/>
        <w:jc w:val="both"/>
        <w:rPr>
          <w:rFonts w:asciiTheme="minorHAnsi" w:hAnsiTheme="minorHAnsi"/>
        </w:rPr>
      </w:pPr>
      <w:r w:rsidRPr="005E0EFB">
        <w:rPr>
          <w:rFonts w:asciiTheme="minorHAnsi" w:eastAsiaTheme="minorEastAsia" w:hAnsiTheme="minorHAnsi" w:cstheme="minorBidi"/>
          <w:color w:val="000000" w:themeColor="text1"/>
          <w:kern w:val="24"/>
          <w:sz w:val="20"/>
          <w:szCs w:val="20"/>
        </w:rPr>
        <w:t>C. Mitchell updated the committee on ICD-10 initiatives at UConn Health.  K. Fearney provided an update for the Storrs campus.</w:t>
      </w:r>
    </w:p>
    <w:p w:rsidR="00701D63" w:rsidRDefault="00701D63" w:rsidP="005E0EFB">
      <w:pPr>
        <w:pStyle w:val="NormalWeb"/>
        <w:spacing w:before="0" w:beforeAutospacing="0" w:after="120" w:afterAutospacing="0"/>
        <w:ind w:left="-540"/>
        <w:jc w:val="both"/>
        <w:rPr>
          <w:rFonts w:asciiTheme="minorHAnsi" w:eastAsiaTheme="minorEastAsia" w:hAnsiTheme="minorHAnsi" w:cstheme="minorBidi"/>
          <w:b/>
          <w:bCs/>
          <w:color w:val="000000"/>
          <w:kern w:val="24"/>
          <w:sz w:val="20"/>
          <w:szCs w:val="20"/>
          <w:u w:val="single"/>
        </w:rPr>
      </w:pPr>
    </w:p>
    <w:p w:rsidR="005E0EFB" w:rsidRPr="005E0EFB" w:rsidRDefault="005E0EFB" w:rsidP="005E0EFB">
      <w:pPr>
        <w:pStyle w:val="NormalWeb"/>
        <w:spacing w:before="0" w:beforeAutospacing="0" w:after="120" w:afterAutospacing="0"/>
        <w:ind w:left="-540"/>
        <w:jc w:val="both"/>
        <w:rPr>
          <w:rFonts w:asciiTheme="minorHAnsi" w:hAnsiTheme="minorHAnsi"/>
        </w:rPr>
      </w:pPr>
      <w:r w:rsidRPr="005E0EFB">
        <w:rPr>
          <w:rFonts w:asciiTheme="minorHAnsi" w:eastAsiaTheme="minorEastAsia" w:hAnsiTheme="minorHAnsi" w:cstheme="minorBidi"/>
          <w:b/>
          <w:bCs/>
          <w:color w:val="000000"/>
          <w:kern w:val="24"/>
          <w:sz w:val="20"/>
          <w:szCs w:val="20"/>
          <w:u w:val="single"/>
        </w:rPr>
        <w:t>Annual Audit and Compliance Plans – Storrs and UConn Health</w:t>
      </w:r>
    </w:p>
    <w:p w:rsidR="005E0EFB" w:rsidRPr="005E0EFB" w:rsidRDefault="005E0EFB" w:rsidP="005E0EFB">
      <w:pPr>
        <w:pStyle w:val="NormalWeb"/>
        <w:spacing w:before="0" w:beforeAutospacing="0" w:after="120" w:afterAutospacing="0"/>
        <w:ind w:left="-180"/>
        <w:jc w:val="both"/>
        <w:rPr>
          <w:rFonts w:asciiTheme="minorHAnsi" w:hAnsiTheme="minorHAnsi"/>
        </w:rPr>
      </w:pPr>
      <w:r w:rsidRPr="005E0EFB">
        <w:rPr>
          <w:rFonts w:asciiTheme="minorHAnsi" w:eastAsiaTheme="minorEastAsia" w:hAnsiTheme="minorHAnsi" w:cstheme="minorBidi"/>
          <w:color w:val="000000" w:themeColor="text1"/>
          <w:kern w:val="24"/>
          <w:sz w:val="20"/>
          <w:szCs w:val="20"/>
        </w:rPr>
        <w:t>C. Chiaputti provided the committee with the Storrs and UConn Health FY16 Audit Plans.</w:t>
      </w:r>
    </w:p>
    <w:p w:rsidR="005E0EFB" w:rsidRPr="005E0EFB" w:rsidRDefault="005E0EFB" w:rsidP="005E0EFB">
      <w:pPr>
        <w:pStyle w:val="NormalWeb"/>
        <w:spacing w:before="0" w:beforeAutospacing="0" w:after="120" w:afterAutospacing="0"/>
        <w:ind w:left="-180"/>
        <w:jc w:val="both"/>
        <w:rPr>
          <w:rFonts w:asciiTheme="minorHAnsi" w:hAnsiTheme="minorHAnsi"/>
        </w:rPr>
      </w:pPr>
      <w:r w:rsidRPr="005E0EFB">
        <w:rPr>
          <w:rFonts w:asciiTheme="minorHAnsi" w:eastAsiaTheme="minorEastAsia" w:hAnsiTheme="minorHAnsi" w:cstheme="minorBidi"/>
          <w:color w:val="000000" w:themeColor="text1"/>
          <w:kern w:val="24"/>
          <w:sz w:val="20"/>
          <w:szCs w:val="20"/>
        </w:rPr>
        <w:t>K. Fearney provided the committee with the Storrs FY16 Compliance Plan and I. Mauriello the UConn Health FY16 Compliance Plan.</w:t>
      </w:r>
    </w:p>
    <w:p w:rsidR="005E0EFB" w:rsidRPr="005E0EFB" w:rsidRDefault="005E0EFB" w:rsidP="005E0EFB">
      <w:pPr>
        <w:pStyle w:val="NormalWeb"/>
        <w:spacing w:before="0" w:beforeAutospacing="0" w:after="120" w:afterAutospacing="0"/>
        <w:ind w:left="-180"/>
        <w:jc w:val="both"/>
        <w:rPr>
          <w:rFonts w:asciiTheme="minorHAnsi" w:hAnsiTheme="minorHAnsi"/>
        </w:rPr>
      </w:pPr>
      <w:r w:rsidRPr="005E0EFB">
        <w:rPr>
          <w:rFonts w:asciiTheme="minorHAnsi" w:eastAsiaTheme="minorEastAsia" w:hAnsiTheme="minorHAnsi" w:cstheme="minorBidi"/>
          <w:b/>
          <w:bCs/>
          <w:color w:val="000000" w:themeColor="text1"/>
          <w:kern w:val="24"/>
          <w:sz w:val="20"/>
          <w:szCs w:val="20"/>
        </w:rPr>
        <w:t xml:space="preserve">ON A MOTION </w:t>
      </w:r>
      <w:r w:rsidRPr="005E0EFB">
        <w:rPr>
          <w:rFonts w:asciiTheme="minorHAnsi" w:eastAsiaTheme="minorEastAsia" w:hAnsiTheme="minorHAnsi" w:cstheme="minorBidi"/>
          <w:color w:val="000000" w:themeColor="text1"/>
          <w:kern w:val="24"/>
          <w:sz w:val="20"/>
          <w:szCs w:val="20"/>
        </w:rPr>
        <w:t>made by Trustee Kruger and seconded by Director Holt, both the audit and compliance plans were approved by the committee.</w:t>
      </w:r>
    </w:p>
    <w:p w:rsidR="00701D63" w:rsidRDefault="00701D63" w:rsidP="005E0EFB">
      <w:pPr>
        <w:pStyle w:val="NormalWeb"/>
        <w:spacing w:before="0" w:beforeAutospacing="0" w:after="120" w:afterAutospacing="0"/>
        <w:ind w:left="-547"/>
        <w:jc w:val="both"/>
        <w:rPr>
          <w:rFonts w:asciiTheme="minorHAnsi" w:eastAsiaTheme="minorEastAsia" w:hAnsiTheme="minorHAnsi" w:cstheme="minorBidi"/>
          <w:b/>
          <w:bCs/>
          <w:color w:val="000000"/>
          <w:kern w:val="24"/>
          <w:sz w:val="20"/>
          <w:szCs w:val="20"/>
          <w:u w:val="single"/>
        </w:rPr>
      </w:pPr>
    </w:p>
    <w:p w:rsidR="005E0EFB" w:rsidRPr="005E0EFB" w:rsidRDefault="005E0EFB" w:rsidP="005E0EFB">
      <w:pPr>
        <w:pStyle w:val="NormalWeb"/>
        <w:spacing w:before="0" w:beforeAutospacing="0" w:after="120" w:afterAutospacing="0"/>
        <w:ind w:left="-547"/>
        <w:jc w:val="both"/>
        <w:rPr>
          <w:rFonts w:asciiTheme="minorHAnsi" w:hAnsiTheme="minorHAnsi"/>
        </w:rPr>
      </w:pPr>
      <w:r w:rsidRPr="005E0EFB">
        <w:rPr>
          <w:rFonts w:asciiTheme="minorHAnsi" w:eastAsiaTheme="minorEastAsia" w:hAnsiTheme="minorHAnsi" w:cstheme="minorBidi"/>
          <w:b/>
          <w:bCs/>
          <w:color w:val="000000"/>
          <w:kern w:val="24"/>
          <w:sz w:val="20"/>
          <w:szCs w:val="20"/>
          <w:u w:val="single"/>
        </w:rPr>
        <w:t>TAB 3 – Significant Audit Activities</w:t>
      </w:r>
    </w:p>
    <w:p w:rsidR="005E0EFB" w:rsidRPr="005E0EFB" w:rsidRDefault="005E0EFB" w:rsidP="005E0EFB">
      <w:pPr>
        <w:pStyle w:val="NormalWeb"/>
        <w:spacing w:before="0" w:beforeAutospacing="0" w:after="120" w:afterAutospacing="0"/>
        <w:ind w:left="-180"/>
        <w:jc w:val="both"/>
        <w:rPr>
          <w:rFonts w:asciiTheme="minorHAnsi" w:hAnsiTheme="minorHAnsi"/>
        </w:rPr>
      </w:pPr>
      <w:r w:rsidRPr="005E0EFB">
        <w:rPr>
          <w:rFonts w:asciiTheme="minorHAnsi" w:eastAsiaTheme="minorEastAsia" w:hAnsiTheme="minorHAnsi" w:cstheme="minorBidi"/>
          <w:color w:val="000000"/>
          <w:kern w:val="24"/>
          <w:sz w:val="20"/>
          <w:szCs w:val="20"/>
        </w:rPr>
        <w:t>C. Chiaputti provided the JACC with an update on the status of audit assignments (Storrs and UConn Health).  OACE completed eight audits and had twelve audits ongoing during this reporting period.  OACE completed three special projects.</w:t>
      </w:r>
    </w:p>
    <w:p w:rsidR="005E0EFB" w:rsidRPr="005E0EFB" w:rsidRDefault="005E0EFB" w:rsidP="005E0EFB">
      <w:pPr>
        <w:pStyle w:val="NormalWeb"/>
        <w:spacing w:before="0" w:beforeAutospacing="0" w:after="120" w:afterAutospacing="0"/>
        <w:ind w:left="-180"/>
        <w:jc w:val="both"/>
        <w:rPr>
          <w:rFonts w:asciiTheme="minorHAnsi" w:hAnsiTheme="minorHAnsi"/>
        </w:rPr>
      </w:pPr>
      <w:r w:rsidRPr="005E0EFB">
        <w:rPr>
          <w:rFonts w:asciiTheme="minorHAnsi" w:eastAsiaTheme="minorEastAsia" w:hAnsiTheme="minorHAnsi" w:cstheme="minorBidi"/>
          <w:color w:val="000000"/>
          <w:kern w:val="24"/>
          <w:sz w:val="20"/>
          <w:szCs w:val="20"/>
        </w:rPr>
        <w:t>The JACC accepted eight, as follows:</w:t>
      </w:r>
    </w:p>
    <w:p w:rsidR="005E0EFB" w:rsidRPr="005E0EFB" w:rsidRDefault="005E0EFB" w:rsidP="005E0EFB">
      <w:pPr>
        <w:pStyle w:val="ListParagraph"/>
        <w:numPr>
          <w:ilvl w:val="0"/>
          <w:numId w:val="6"/>
        </w:numPr>
        <w:spacing w:after="120"/>
        <w:ind w:left="180"/>
        <w:contextualSpacing w:val="0"/>
        <w:jc w:val="both"/>
        <w:rPr>
          <w:rFonts w:asciiTheme="minorHAnsi" w:hAnsiTheme="minorHAnsi"/>
          <w:sz w:val="16"/>
        </w:rPr>
      </w:pPr>
      <w:r w:rsidRPr="005E0EFB">
        <w:rPr>
          <w:rFonts w:asciiTheme="minorHAnsi" w:eastAsiaTheme="minorEastAsia" w:hAnsiTheme="minorHAnsi"/>
          <w:kern w:val="24"/>
          <w:sz w:val="20"/>
          <w:szCs w:val="20"/>
        </w:rPr>
        <w:t>Cash Handling,</w:t>
      </w:r>
    </w:p>
    <w:p w:rsidR="005E0EFB" w:rsidRPr="005E0EFB" w:rsidRDefault="005E0EFB" w:rsidP="005E0EFB">
      <w:pPr>
        <w:pStyle w:val="ListParagraph"/>
        <w:numPr>
          <w:ilvl w:val="0"/>
          <w:numId w:val="6"/>
        </w:numPr>
        <w:spacing w:after="120"/>
        <w:ind w:left="180"/>
        <w:contextualSpacing w:val="0"/>
        <w:jc w:val="both"/>
        <w:rPr>
          <w:rFonts w:asciiTheme="minorHAnsi" w:hAnsiTheme="minorHAnsi"/>
          <w:sz w:val="16"/>
        </w:rPr>
      </w:pPr>
      <w:r w:rsidRPr="005E0EFB">
        <w:rPr>
          <w:rFonts w:asciiTheme="minorHAnsi" w:eastAsiaTheme="minorEastAsia" w:hAnsiTheme="minorHAnsi"/>
          <w:kern w:val="24"/>
          <w:sz w:val="20"/>
          <w:szCs w:val="20"/>
        </w:rPr>
        <w:t>Medical Device Security,</w:t>
      </w:r>
    </w:p>
    <w:p w:rsidR="005E0EFB" w:rsidRPr="005E0EFB" w:rsidRDefault="005E0EFB" w:rsidP="005E0EFB">
      <w:pPr>
        <w:pStyle w:val="ListParagraph"/>
        <w:numPr>
          <w:ilvl w:val="0"/>
          <w:numId w:val="6"/>
        </w:numPr>
        <w:spacing w:after="120"/>
        <w:ind w:left="180"/>
        <w:contextualSpacing w:val="0"/>
        <w:jc w:val="both"/>
        <w:rPr>
          <w:rFonts w:asciiTheme="minorHAnsi" w:hAnsiTheme="minorHAnsi"/>
          <w:sz w:val="16"/>
        </w:rPr>
      </w:pPr>
      <w:r w:rsidRPr="005E0EFB">
        <w:rPr>
          <w:rFonts w:asciiTheme="minorHAnsi" w:eastAsiaTheme="minorEastAsia" w:hAnsiTheme="minorHAnsi"/>
          <w:kern w:val="24"/>
          <w:sz w:val="20"/>
          <w:szCs w:val="20"/>
        </w:rPr>
        <w:t>Health Management (HIM) – Patient Record Management JDH UMG,</w:t>
      </w:r>
    </w:p>
    <w:p w:rsidR="005E0EFB" w:rsidRPr="005E0EFB" w:rsidRDefault="005E0EFB" w:rsidP="005E0EFB">
      <w:pPr>
        <w:pStyle w:val="ListParagraph"/>
        <w:numPr>
          <w:ilvl w:val="0"/>
          <w:numId w:val="6"/>
        </w:numPr>
        <w:spacing w:after="120"/>
        <w:ind w:left="180"/>
        <w:contextualSpacing w:val="0"/>
        <w:jc w:val="both"/>
        <w:rPr>
          <w:rFonts w:asciiTheme="minorHAnsi" w:hAnsiTheme="minorHAnsi"/>
          <w:sz w:val="16"/>
        </w:rPr>
      </w:pPr>
      <w:r w:rsidRPr="005E0EFB">
        <w:rPr>
          <w:rFonts w:asciiTheme="minorHAnsi" w:eastAsiaTheme="minorEastAsia" w:hAnsiTheme="minorHAnsi"/>
          <w:kern w:val="24"/>
          <w:sz w:val="20"/>
          <w:szCs w:val="20"/>
        </w:rPr>
        <w:t>UConn Health Electronic Health Record (</w:t>
      </w:r>
      <w:proofErr w:type="spellStart"/>
      <w:r w:rsidRPr="005E0EFB">
        <w:rPr>
          <w:rFonts w:asciiTheme="minorHAnsi" w:eastAsiaTheme="minorEastAsia" w:hAnsiTheme="minorHAnsi"/>
          <w:kern w:val="24"/>
          <w:sz w:val="20"/>
          <w:szCs w:val="20"/>
        </w:rPr>
        <w:t>eHims</w:t>
      </w:r>
      <w:proofErr w:type="spellEnd"/>
      <w:r w:rsidRPr="005E0EFB">
        <w:rPr>
          <w:rFonts w:asciiTheme="minorHAnsi" w:eastAsiaTheme="minorEastAsia" w:hAnsiTheme="minorHAnsi"/>
          <w:kern w:val="24"/>
          <w:sz w:val="20"/>
          <w:szCs w:val="20"/>
        </w:rPr>
        <w:t>),</w:t>
      </w:r>
    </w:p>
    <w:p w:rsidR="005E0EFB" w:rsidRPr="005E0EFB" w:rsidRDefault="005E0EFB" w:rsidP="005E0EFB">
      <w:pPr>
        <w:pStyle w:val="ListParagraph"/>
        <w:numPr>
          <w:ilvl w:val="0"/>
          <w:numId w:val="6"/>
        </w:numPr>
        <w:spacing w:after="120"/>
        <w:ind w:left="180"/>
        <w:contextualSpacing w:val="0"/>
        <w:jc w:val="both"/>
        <w:rPr>
          <w:rFonts w:asciiTheme="minorHAnsi" w:hAnsiTheme="minorHAnsi"/>
          <w:sz w:val="16"/>
        </w:rPr>
      </w:pPr>
      <w:r w:rsidRPr="005E0EFB">
        <w:rPr>
          <w:rFonts w:asciiTheme="minorHAnsi" w:eastAsiaTheme="minorEastAsia" w:hAnsiTheme="minorHAnsi"/>
          <w:kern w:val="24"/>
          <w:sz w:val="20"/>
          <w:szCs w:val="20"/>
        </w:rPr>
        <w:t>General University Fee (GUF) Funded Activity – Marching Band,</w:t>
      </w:r>
    </w:p>
    <w:p w:rsidR="005E0EFB" w:rsidRPr="005E0EFB" w:rsidRDefault="005E0EFB" w:rsidP="005E0EFB">
      <w:pPr>
        <w:pStyle w:val="ListParagraph"/>
        <w:numPr>
          <w:ilvl w:val="0"/>
          <w:numId w:val="6"/>
        </w:numPr>
        <w:spacing w:after="120"/>
        <w:ind w:left="180"/>
        <w:contextualSpacing w:val="0"/>
        <w:jc w:val="both"/>
        <w:rPr>
          <w:rFonts w:asciiTheme="minorHAnsi" w:hAnsiTheme="minorHAnsi"/>
          <w:sz w:val="16"/>
        </w:rPr>
      </w:pPr>
      <w:r w:rsidRPr="005E0EFB">
        <w:rPr>
          <w:rFonts w:asciiTheme="minorHAnsi" w:eastAsiaTheme="minorEastAsia" w:hAnsiTheme="minorHAnsi"/>
          <w:kern w:val="24"/>
          <w:sz w:val="20"/>
          <w:szCs w:val="20"/>
        </w:rPr>
        <w:t>Firewall Security,</w:t>
      </w:r>
    </w:p>
    <w:p w:rsidR="005E0EFB" w:rsidRPr="005E0EFB" w:rsidRDefault="005E0EFB" w:rsidP="005E0EFB">
      <w:pPr>
        <w:pStyle w:val="ListParagraph"/>
        <w:numPr>
          <w:ilvl w:val="0"/>
          <w:numId w:val="6"/>
        </w:numPr>
        <w:spacing w:after="120"/>
        <w:ind w:left="180"/>
        <w:contextualSpacing w:val="0"/>
        <w:jc w:val="both"/>
        <w:rPr>
          <w:rFonts w:asciiTheme="minorHAnsi" w:hAnsiTheme="minorHAnsi"/>
          <w:sz w:val="16"/>
        </w:rPr>
      </w:pPr>
      <w:r w:rsidRPr="005E0EFB">
        <w:rPr>
          <w:rFonts w:asciiTheme="minorHAnsi" w:eastAsiaTheme="minorEastAsia" w:hAnsiTheme="minorHAnsi"/>
          <w:kern w:val="24"/>
          <w:sz w:val="20"/>
          <w:szCs w:val="20"/>
        </w:rPr>
        <w:t>NCAA Compliance – Academic Performance, and</w:t>
      </w:r>
    </w:p>
    <w:p w:rsidR="005E0EFB" w:rsidRPr="005E0EFB" w:rsidRDefault="005E0EFB" w:rsidP="005E0EFB">
      <w:pPr>
        <w:pStyle w:val="ListParagraph"/>
        <w:numPr>
          <w:ilvl w:val="0"/>
          <w:numId w:val="6"/>
        </w:numPr>
        <w:spacing w:after="120"/>
        <w:ind w:left="180"/>
        <w:contextualSpacing w:val="0"/>
        <w:jc w:val="both"/>
        <w:rPr>
          <w:rFonts w:asciiTheme="minorHAnsi" w:hAnsiTheme="minorHAnsi"/>
          <w:sz w:val="16"/>
        </w:rPr>
      </w:pPr>
      <w:r w:rsidRPr="005E0EFB">
        <w:rPr>
          <w:rFonts w:asciiTheme="minorHAnsi" w:eastAsiaTheme="minorEastAsia" w:hAnsiTheme="minorHAnsi"/>
          <w:kern w:val="24"/>
          <w:sz w:val="20"/>
          <w:szCs w:val="20"/>
        </w:rPr>
        <w:t>Project Commissioning / Closeout Process.</w:t>
      </w:r>
    </w:p>
    <w:p w:rsidR="005E0EFB" w:rsidRPr="005E0EFB" w:rsidRDefault="005E0EFB" w:rsidP="005E0EFB">
      <w:pPr>
        <w:pStyle w:val="ListParagraph"/>
        <w:spacing w:after="120"/>
        <w:ind w:left="-180"/>
        <w:contextualSpacing w:val="0"/>
        <w:jc w:val="both"/>
        <w:rPr>
          <w:rFonts w:asciiTheme="minorHAnsi" w:eastAsiaTheme="minorEastAsia" w:hAnsiTheme="minorHAnsi" w:cstheme="minorBidi"/>
          <w:color w:val="000000"/>
          <w:kern w:val="24"/>
          <w:sz w:val="20"/>
          <w:szCs w:val="20"/>
        </w:rPr>
      </w:pPr>
      <w:r w:rsidRPr="005E0EFB">
        <w:rPr>
          <w:rFonts w:asciiTheme="minorHAnsi" w:eastAsiaTheme="minorEastAsia" w:hAnsiTheme="minorHAnsi" w:cstheme="minorBidi"/>
          <w:color w:val="000000"/>
          <w:kern w:val="24"/>
          <w:sz w:val="20"/>
          <w:szCs w:val="20"/>
        </w:rPr>
        <w:t>The Student Health Services Clinical Systems audit was incorrectly posted to the Status of Audit Assignments.</w:t>
      </w:r>
    </w:p>
    <w:p w:rsidR="005E0EFB" w:rsidRDefault="005E0EFB" w:rsidP="005E0EFB">
      <w:pPr>
        <w:pStyle w:val="ListParagraph"/>
        <w:spacing w:after="120"/>
        <w:ind w:left="-180"/>
        <w:contextualSpacing w:val="0"/>
        <w:jc w:val="both"/>
        <w:rPr>
          <w:rFonts w:asciiTheme="minorHAnsi" w:eastAsiaTheme="minorEastAsia" w:hAnsiTheme="minorHAnsi" w:cstheme="minorBidi"/>
          <w:color w:val="000000"/>
          <w:kern w:val="24"/>
          <w:sz w:val="20"/>
          <w:szCs w:val="20"/>
        </w:rPr>
      </w:pPr>
      <w:r w:rsidRPr="005E0EFB">
        <w:rPr>
          <w:rFonts w:asciiTheme="minorHAnsi" w:eastAsiaTheme="minorEastAsia" w:hAnsiTheme="minorHAnsi" w:cstheme="minorBidi"/>
          <w:color w:val="000000"/>
          <w:kern w:val="24"/>
          <w:sz w:val="20"/>
          <w:szCs w:val="20"/>
        </w:rPr>
        <w:t xml:space="preserve">The committee was also provided with the status of OACE’s follow-up activities.  </w:t>
      </w:r>
    </w:p>
    <w:p w:rsidR="00701D63" w:rsidRDefault="00701D63" w:rsidP="005E0EFB">
      <w:pPr>
        <w:pStyle w:val="ListParagraph"/>
        <w:spacing w:after="120"/>
        <w:ind w:left="-540"/>
        <w:contextualSpacing w:val="0"/>
        <w:rPr>
          <w:rFonts w:asciiTheme="minorHAnsi" w:hAnsiTheme="minorHAnsi"/>
          <w:b/>
          <w:bCs/>
          <w:sz w:val="20"/>
          <w:szCs w:val="20"/>
          <w:u w:val="single"/>
        </w:rPr>
      </w:pPr>
    </w:p>
    <w:p w:rsidR="005E0EFB" w:rsidRPr="005E0EFB" w:rsidRDefault="005E0EFB" w:rsidP="005E0EFB">
      <w:pPr>
        <w:pStyle w:val="ListParagraph"/>
        <w:spacing w:after="120"/>
        <w:ind w:left="-540"/>
        <w:contextualSpacing w:val="0"/>
        <w:rPr>
          <w:rFonts w:asciiTheme="minorHAnsi" w:hAnsiTheme="minorHAnsi"/>
          <w:sz w:val="20"/>
          <w:szCs w:val="20"/>
        </w:rPr>
      </w:pPr>
      <w:r w:rsidRPr="005E0EFB">
        <w:rPr>
          <w:rFonts w:asciiTheme="minorHAnsi" w:hAnsiTheme="minorHAnsi"/>
          <w:b/>
          <w:bCs/>
          <w:sz w:val="20"/>
          <w:szCs w:val="20"/>
          <w:u w:val="single"/>
        </w:rPr>
        <w:t>Tab 4 – Auditors of Public Accounts</w:t>
      </w:r>
    </w:p>
    <w:p w:rsidR="005E0EFB" w:rsidRDefault="005E0EFB" w:rsidP="005E0EFB">
      <w:pPr>
        <w:pStyle w:val="ListParagraph"/>
        <w:spacing w:after="120"/>
        <w:ind w:left="-180"/>
        <w:contextualSpacing w:val="0"/>
        <w:rPr>
          <w:rFonts w:asciiTheme="minorHAnsi" w:hAnsiTheme="minorHAnsi"/>
          <w:sz w:val="20"/>
          <w:szCs w:val="20"/>
        </w:rPr>
      </w:pPr>
      <w:r w:rsidRPr="005E0EFB">
        <w:rPr>
          <w:rFonts w:asciiTheme="minorHAnsi" w:hAnsiTheme="minorHAnsi"/>
          <w:sz w:val="20"/>
          <w:szCs w:val="20"/>
        </w:rPr>
        <w:t>Auditors of Public Accounts, J. Carroll, N. Freitas, J. Rasimas, and G. Slupecki presented the Auditors’ Report – University of Connecticut for the Fiscal Years Ended June 30, 2012 and 2013 – Storrs.</w:t>
      </w:r>
    </w:p>
    <w:p w:rsidR="00701D63" w:rsidRDefault="00701D63" w:rsidP="005E0EFB">
      <w:pPr>
        <w:pStyle w:val="ListParagraph"/>
        <w:spacing w:after="120"/>
        <w:ind w:left="-547"/>
        <w:contextualSpacing w:val="0"/>
        <w:rPr>
          <w:rFonts w:asciiTheme="minorHAnsi" w:hAnsiTheme="minorHAnsi"/>
          <w:b/>
          <w:bCs/>
          <w:sz w:val="20"/>
          <w:szCs w:val="20"/>
          <w:u w:val="single"/>
        </w:rPr>
      </w:pPr>
    </w:p>
    <w:p w:rsidR="00701D63" w:rsidRDefault="00701D63" w:rsidP="005E0EFB">
      <w:pPr>
        <w:pStyle w:val="ListParagraph"/>
        <w:spacing w:after="120"/>
        <w:ind w:left="-547"/>
        <w:contextualSpacing w:val="0"/>
        <w:rPr>
          <w:rFonts w:asciiTheme="minorHAnsi" w:hAnsiTheme="minorHAnsi"/>
          <w:b/>
          <w:bCs/>
          <w:sz w:val="20"/>
          <w:szCs w:val="20"/>
          <w:u w:val="single"/>
        </w:rPr>
      </w:pPr>
    </w:p>
    <w:p w:rsidR="00701D63" w:rsidRDefault="00701D63" w:rsidP="005E0EFB">
      <w:pPr>
        <w:pStyle w:val="ListParagraph"/>
        <w:spacing w:after="120"/>
        <w:ind w:left="-547"/>
        <w:contextualSpacing w:val="0"/>
        <w:rPr>
          <w:rFonts w:asciiTheme="minorHAnsi" w:hAnsiTheme="minorHAnsi"/>
          <w:b/>
          <w:bCs/>
          <w:sz w:val="20"/>
          <w:szCs w:val="20"/>
          <w:u w:val="single"/>
        </w:rPr>
      </w:pPr>
    </w:p>
    <w:p w:rsidR="00240235" w:rsidRDefault="00240235" w:rsidP="005E0EFB">
      <w:pPr>
        <w:pStyle w:val="ListParagraph"/>
        <w:spacing w:after="120"/>
        <w:ind w:left="-547"/>
        <w:contextualSpacing w:val="0"/>
        <w:rPr>
          <w:rFonts w:asciiTheme="minorHAnsi" w:hAnsiTheme="minorHAnsi"/>
          <w:b/>
          <w:bCs/>
          <w:sz w:val="20"/>
          <w:szCs w:val="20"/>
          <w:u w:val="single"/>
        </w:rPr>
      </w:pPr>
    </w:p>
    <w:p w:rsidR="005E0EFB" w:rsidRPr="005E0EFB" w:rsidRDefault="005E0EFB" w:rsidP="005E0EFB">
      <w:pPr>
        <w:pStyle w:val="ListParagraph"/>
        <w:spacing w:after="120"/>
        <w:ind w:left="-547"/>
        <w:contextualSpacing w:val="0"/>
        <w:rPr>
          <w:rFonts w:asciiTheme="minorHAnsi" w:hAnsiTheme="minorHAnsi"/>
          <w:sz w:val="20"/>
          <w:szCs w:val="20"/>
        </w:rPr>
      </w:pPr>
      <w:r w:rsidRPr="005E0EFB">
        <w:rPr>
          <w:rFonts w:asciiTheme="minorHAnsi" w:hAnsiTheme="minorHAnsi"/>
          <w:b/>
          <w:bCs/>
          <w:sz w:val="20"/>
          <w:szCs w:val="20"/>
          <w:u w:val="single"/>
        </w:rPr>
        <w:t>Tab 5 – External Engagements</w:t>
      </w:r>
    </w:p>
    <w:p w:rsidR="005E0EFB" w:rsidRDefault="005E0EFB" w:rsidP="005E0EFB">
      <w:pPr>
        <w:pStyle w:val="ListParagraph"/>
        <w:spacing w:after="120"/>
        <w:ind w:left="-180"/>
        <w:contextualSpacing w:val="0"/>
        <w:rPr>
          <w:rFonts w:asciiTheme="minorHAnsi" w:hAnsiTheme="minorHAnsi"/>
          <w:sz w:val="20"/>
          <w:szCs w:val="20"/>
        </w:rPr>
      </w:pPr>
      <w:r w:rsidRPr="005E0EFB">
        <w:rPr>
          <w:rFonts w:asciiTheme="minorHAnsi" w:hAnsiTheme="minorHAnsi"/>
          <w:b/>
          <w:bCs/>
          <w:sz w:val="20"/>
          <w:szCs w:val="20"/>
        </w:rPr>
        <w:t>O</w:t>
      </w:r>
      <w:r>
        <w:rPr>
          <w:rFonts w:asciiTheme="minorHAnsi" w:hAnsiTheme="minorHAnsi"/>
          <w:b/>
          <w:bCs/>
          <w:sz w:val="20"/>
          <w:szCs w:val="20"/>
        </w:rPr>
        <w:t>N</w:t>
      </w:r>
      <w:r w:rsidRPr="005E0EFB">
        <w:rPr>
          <w:rFonts w:asciiTheme="minorHAnsi" w:hAnsiTheme="minorHAnsi"/>
          <w:b/>
          <w:bCs/>
          <w:sz w:val="20"/>
          <w:szCs w:val="20"/>
        </w:rPr>
        <w:t xml:space="preserve"> A MOTION </w:t>
      </w:r>
      <w:r w:rsidRPr="005E0EFB">
        <w:rPr>
          <w:rFonts w:asciiTheme="minorHAnsi" w:hAnsiTheme="minorHAnsi"/>
          <w:sz w:val="20"/>
          <w:szCs w:val="20"/>
        </w:rPr>
        <w:t xml:space="preserve">made by Trustee </w:t>
      </w:r>
      <w:proofErr w:type="spellStart"/>
      <w:r w:rsidRPr="005E0EFB">
        <w:rPr>
          <w:rFonts w:asciiTheme="minorHAnsi" w:hAnsiTheme="minorHAnsi"/>
          <w:sz w:val="20"/>
          <w:szCs w:val="20"/>
        </w:rPr>
        <w:t>Nayden</w:t>
      </w:r>
      <w:proofErr w:type="spellEnd"/>
      <w:r w:rsidRPr="005E0EFB">
        <w:rPr>
          <w:rFonts w:asciiTheme="minorHAnsi" w:hAnsiTheme="minorHAnsi"/>
          <w:sz w:val="20"/>
          <w:szCs w:val="20"/>
        </w:rPr>
        <w:t xml:space="preserve"> and seconded by Trustee Borges, the JACC approved the re-appointment of the accounting firm of McGladrey as independent auditors of UConn 2000 expenditures for FY15.</w:t>
      </w:r>
    </w:p>
    <w:p w:rsidR="005E0EFB" w:rsidRDefault="005E0EFB" w:rsidP="005E0EFB">
      <w:pPr>
        <w:pStyle w:val="ListParagraph"/>
        <w:spacing w:after="120"/>
        <w:ind w:left="-180"/>
        <w:contextualSpacing w:val="0"/>
        <w:rPr>
          <w:rFonts w:asciiTheme="minorHAnsi" w:hAnsiTheme="minorHAnsi"/>
          <w:sz w:val="20"/>
          <w:szCs w:val="20"/>
        </w:rPr>
      </w:pPr>
      <w:r w:rsidRPr="005E0EFB">
        <w:rPr>
          <w:rFonts w:asciiTheme="minorHAnsi" w:hAnsiTheme="minorHAnsi"/>
          <w:b/>
          <w:bCs/>
          <w:sz w:val="20"/>
          <w:szCs w:val="20"/>
        </w:rPr>
        <w:t>O</w:t>
      </w:r>
      <w:r>
        <w:rPr>
          <w:rFonts w:asciiTheme="minorHAnsi" w:hAnsiTheme="minorHAnsi"/>
          <w:b/>
          <w:bCs/>
          <w:sz w:val="20"/>
          <w:szCs w:val="20"/>
        </w:rPr>
        <w:t>N</w:t>
      </w:r>
      <w:r w:rsidRPr="005E0EFB">
        <w:rPr>
          <w:rFonts w:asciiTheme="minorHAnsi" w:hAnsiTheme="minorHAnsi"/>
          <w:b/>
          <w:bCs/>
          <w:sz w:val="20"/>
          <w:szCs w:val="20"/>
        </w:rPr>
        <w:t xml:space="preserve"> A MOTION </w:t>
      </w:r>
      <w:r w:rsidRPr="005E0EFB">
        <w:rPr>
          <w:rFonts w:asciiTheme="minorHAnsi" w:hAnsiTheme="minorHAnsi"/>
          <w:sz w:val="20"/>
          <w:szCs w:val="20"/>
        </w:rPr>
        <w:t xml:space="preserve">made by Trustee </w:t>
      </w:r>
      <w:proofErr w:type="spellStart"/>
      <w:r w:rsidRPr="005E0EFB">
        <w:rPr>
          <w:rFonts w:asciiTheme="minorHAnsi" w:hAnsiTheme="minorHAnsi"/>
          <w:sz w:val="20"/>
          <w:szCs w:val="20"/>
        </w:rPr>
        <w:t>Nayden</w:t>
      </w:r>
      <w:proofErr w:type="spellEnd"/>
      <w:r w:rsidRPr="005E0EFB">
        <w:rPr>
          <w:rFonts w:asciiTheme="minorHAnsi" w:hAnsiTheme="minorHAnsi"/>
          <w:sz w:val="20"/>
          <w:szCs w:val="20"/>
        </w:rPr>
        <w:t xml:space="preserve"> and seconded by Trustee Cantor, the JACC approved the re-appointment of the accounting firm BKD to provide audit services for the year ending June 30, 2015.</w:t>
      </w:r>
    </w:p>
    <w:p w:rsidR="00D30AC7" w:rsidRPr="005E0EFB" w:rsidRDefault="00D30AC7" w:rsidP="005E0EFB">
      <w:pPr>
        <w:pStyle w:val="ListParagraph"/>
        <w:spacing w:after="120"/>
        <w:ind w:left="-540"/>
        <w:contextualSpacing w:val="0"/>
        <w:rPr>
          <w:rFonts w:asciiTheme="minorHAnsi" w:hAnsiTheme="minorHAnsi"/>
          <w:sz w:val="20"/>
          <w:szCs w:val="20"/>
        </w:rPr>
      </w:pPr>
    </w:p>
    <w:p w:rsidR="005E0EFB" w:rsidRPr="005E0EFB" w:rsidRDefault="005E0EFB" w:rsidP="005E0EFB">
      <w:pPr>
        <w:pStyle w:val="ListParagraph"/>
        <w:spacing w:after="120"/>
        <w:ind w:left="-540"/>
        <w:contextualSpacing w:val="0"/>
        <w:rPr>
          <w:rFonts w:asciiTheme="minorHAnsi" w:hAnsiTheme="minorHAnsi"/>
          <w:sz w:val="20"/>
          <w:szCs w:val="20"/>
        </w:rPr>
      </w:pPr>
      <w:r w:rsidRPr="005E0EFB">
        <w:rPr>
          <w:rFonts w:asciiTheme="minorHAnsi" w:hAnsiTheme="minorHAnsi"/>
          <w:b/>
          <w:bCs/>
          <w:sz w:val="20"/>
          <w:szCs w:val="20"/>
          <w:u w:val="single"/>
        </w:rPr>
        <w:t>Tab 6 – Informational / Educational Items</w:t>
      </w:r>
    </w:p>
    <w:p w:rsidR="005E0EFB" w:rsidRPr="005E0EFB" w:rsidRDefault="005E0EFB" w:rsidP="005E0EFB">
      <w:pPr>
        <w:pStyle w:val="ListParagraph"/>
        <w:spacing w:after="120"/>
        <w:ind w:left="-540"/>
        <w:contextualSpacing w:val="0"/>
        <w:rPr>
          <w:rFonts w:asciiTheme="minorHAnsi" w:hAnsiTheme="minorHAnsi"/>
          <w:sz w:val="20"/>
          <w:szCs w:val="20"/>
        </w:rPr>
      </w:pPr>
      <w:r w:rsidRPr="005E0EFB">
        <w:rPr>
          <w:rFonts w:asciiTheme="minorHAnsi" w:hAnsiTheme="minorHAnsi"/>
          <w:sz w:val="20"/>
          <w:szCs w:val="20"/>
        </w:rPr>
        <w:t>The committee was provided with the following:</w:t>
      </w:r>
    </w:p>
    <w:p w:rsidR="00CE6C13" w:rsidRPr="005E0EFB" w:rsidRDefault="00CA76E2" w:rsidP="005E0EFB">
      <w:pPr>
        <w:pStyle w:val="ListParagraph"/>
        <w:numPr>
          <w:ilvl w:val="0"/>
          <w:numId w:val="7"/>
        </w:numPr>
        <w:tabs>
          <w:tab w:val="clear" w:pos="720"/>
        </w:tabs>
        <w:spacing w:after="120"/>
        <w:ind w:left="180"/>
        <w:contextualSpacing w:val="0"/>
        <w:rPr>
          <w:rFonts w:asciiTheme="minorHAnsi" w:hAnsiTheme="minorHAnsi"/>
          <w:sz w:val="20"/>
          <w:szCs w:val="20"/>
        </w:rPr>
      </w:pPr>
      <w:r w:rsidRPr="005E0EFB">
        <w:rPr>
          <w:rFonts w:asciiTheme="minorHAnsi" w:hAnsiTheme="minorHAnsi"/>
          <w:sz w:val="20"/>
          <w:szCs w:val="20"/>
        </w:rPr>
        <w:t>Compliance Newsletters – Storrs and UConn Health,</w:t>
      </w:r>
    </w:p>
    <w:p w:rsidR="005E0EFB" w:rsidRPr="005E0EFB" w:rsidRDefault="00CA76E2" w:rsidP="005E0EFB">
      <w:pPr>
        <w:pStyle w:val="ListParagraph"/>
        <w:numPr>
          <w:ilvl w:val="0"/>
          <w:numId w:val="7"/>
        </w:numPr>
        <w:tabs>
          <w:tab w:val="clear" w:pos="720"/>
        </w:tabs>
        <w:spacing w:after="120"/>
        <w:ind w:left="180"/>
        <w:contextualSpacing w:val="0"/>
        <w:rPr>
          <w:rFonts w:asciiTheme="minorHAnsi" w:hAnsiTheme="minorHAnsi"/>
          <w:sz w:val="20"/>
          <w:szCs w:val="20"/>
        </w:rPr>
      </w:pPr>
      <w:r w:rsidRPr="005E0EFB">
        <w:rPr>
          <w:rFonts w:asciiTheme="minorHAnsi" w:hAnsiTheme="minorHAnsi"/>
          <w:sz w:val="20"/>
          <w:szCs w:val="20"/>
        </w:rPr>
        <w:t xml:space="preserve">Practical Guidance for Health Care Governing Boards on Compliance Oversight, </w:t>
      </w:r>
      <w:r w:rsidR="005E0EFB" w:rsidRPr="005E0EFB">
        <w:rPr>
          <w:rFonts w:asciiTheme="minorHAnsi" w:hAnsiTheme="minorHAnsi"/>
          <w:sz w:val="20"/>
          <w:szCs w:val="20"/>
        </w:rPr>
        <w:t xml:space="preserve">April 20, 2015, and </w:t>
      </w:r>
    </w:p>
    <w:p w:rsidR="00CE6C13" w:rsidRPr="005E0EFB" w:rsidRDefault="00CA76E2" w:rsidP="005E0EFB">
      <w:pPr>
        <w:pStyle w:val="ListParagraph"/>
        <w:numPr>
          <w:ilvl w:val="0"/>
          <w:numId w:val="8"/>
        </w:numPr>
        <w:tabs>
          <w:tab w:val="clear" w:pos="720"/>
        </w:tabs>
        <w:spacing w:after="120"/>
        <w:ind w:left="180"/>
        <w:contextualSpacing w:val="0"/>
        <w:rPr>
          <w:rFonts w:asciiTheme="minorHAnsi" w:hAnsiTheme="minorHAnsi"/>
          <w:sz w:val="20"/>
          <w:szCs w:val="20"/>
        </w:rPr>
      </w:pPr>
      <w:r w:rsidRPr="005E0EFB">
        <w:rPr>
          <w:rFonts w:asciiTheme="minorHAnsi" w:hAnsiTheme="minorHAnsi"/>
          <w:sz w:val="20"/>
          <w:szCs w:val="20"/>
        </w:rPr>
        <w:t>JACC Agenda Forecast.</w:t>
      </w:r>
    </w:p>
    <w:p w:rsidR="005E0EFB" w:rsidRDefault="005E0EFB" w:rsidP="005E0EFB">
      <w:pPr>
        <w:pStyle w:val="ListParagraph"/>
        <w:spacing w:after="120"/>
        <w:ind w:left="-540"/>
        <w:contextualSpacing w:val="0"/>
        <w:rPr>
          <w:rFonts w:asciiTheme="minorHAnsi" w:hAnsiTheme="minorHAnsi"/>
          <w:sz w:val="20"/>
          <w:szCs w:val="20"/>
        </w:rPr>
      </w:pPr>
    </w:p>
    <w:p w:rsidR="005E0EFB" w:rsidRDefault="005E0EFB" w:rsidP="005E0EFB">
      <w:pPr>
        <w:pStyle w:val="ListParagraph"/>
        <w:spacing w:after="120"/>
        <w:ind w:left="-540"/>
        <w:contextualSpacing w:val="0"/>
        <w:rPr>
          <w:rFonts w:asciiTheme="minorHAnsi" w:hAnsiTheme="minorHAnsi"/>
          <w:sz w:val="20"/>
          <w:szCs w:val="20"/>
        </w:rPr>
      </w:pPr>
      <w:r w:rsidRPr="005E0EFB">
        <w:rPr>
          <w:rFonts w:asciiTheme="minorHAnsi" w:hAnsiTheme="minorHAnsi"/>
          <w:sz w:val="20"/>
          <w:szCs w:val="20"/>
        </w:rPr>
        <w:t xml:space="preserve">There being no further business, </w:t>
      </w:r>
      <w:r w:rsidRPr="005E0EFB">
        <w:rPr>
          <w:rFonts w:asciiTheme="minorHAnsi" w:hAnsiTheme="minorHAnsi"/>
          <w:b/>
          <w:bCs/>
          <w:sz w:val="20"/>
          <w:szCs w:val="20"/>
        </w:rPr>
        <w:t xml:space="preserve">ON A MOTION </w:t>
      </w:r>
      <w:r w:rsidRPr="005E0EFB">
        <w:rPr>
          <w:rFonts w:asciiTheme="minorHAnsi" w:hAnsiTheme="minorHAnsi"/>
          <w:sz w:val="20"/>
          <w:szCs w:val="20"/>
        </w:rPr>
        <w:t xml:space="preserve">made by Trustee </w:t>
      </w:r>
      <w:proofErr w:type="spellStart"/>
      <w:r w:rsidRPr="005E0EFB">
        <w:rPr>
          <w:rFonts w:asciiTheme="minorHAnsi" w:hAnsiTheme="minorHAnsi"/>
          <w:sz w:val="20"/>
          <w:szCs w:val="20"/>
        </w:rPr>
        <w:t>Nayden</w:t>
      </w:r>
      <w:proofErr w:type="spellEnd"/>
      <w:r w:rsidRPr="005E0EFB">
        <w:rPr>
          <w:rFonts w:asciiTheme="minorHAnsi" w:hAnsiTheme="minorHAnsi"/>
          <w:sz w:val="20"/>
          <w:szCs w:val="20"/>
        </w:rPr>
        <w:t xml:space="preserve"> and seconded by Trustee Kruger, the meeting was adjourned at 11:30 a.m. </w:t>
      </w:r>
    </w:p>
    <w:p w:rsidR="005E0EFB" w:rsidRPr="005E0EFB" w:rsidRDefault="005E0EFB" w:rsidP="005E0EFB">
      <w:pPr>
        <w:pStyle w:val="ListParagraph"/>
        <w:spacing w:after="120"/>
        <w:ind w:left="-540"/>
        <w:contextualSpacing w:val="0"/>
        <w:rPr>
          <w:rFonts w:asciiTheme="minorHAnsi" w:hAnsiTheme="minorHAnsi"/>
          <w:sz w:val="20"/>
          <w:szCs w:val="20"/>
        </w:rPr>
      </w:pPr>
    </w:p>
    <w:p w:rsidR="005E0EFB" w:rsidRPr="005E0EFB" w:rsidRDefault="005E0EFB" w:rsidP="005E0EFB">
      <w:pPr>
        <w:pStyle w:val="ListParagraph"/>
        <w:spacing w:after="120"/>
        <w:ind w:left="-540"/>
        <w:contextualSpacing w:val="0"/>
        <w:rPr>
          <w:rFonts w:asciiTheme="minorHAnsi" w:hAnsiTheme="minorHAnsi"/>
          <w:sz w:val="20"/>
          <w:szCs w:val="20"/>
        </w:rPr>
      </w:pPr>
      <w:r w:rsidRPr="005E0EFB">
        <w:rPr>
          <w:rFonts w:asciiTheme="minorHAnsi" w:hAnsiTheme="minorHAnsi"/>
          <w:sz w:val="20"/>
          <w:szCs w:val="20"/>
        </w:rPr>
        <w:t>Respectfully submitted,</w:t>
      </w:r>
    </w:p>
    <w:p w:rsidR="005E0EFB" w:rsidRPr="005E0EFB" w:rsidRDefault="005E0EFB" w:rsidP="005E0EFB">
      <w:pPr>
        <w:pStyle w:val="ListParagraph"/>
        <w:spacing w:after="120"/>
        <w:ind w:left="-540"/>
        <w:contextualSpacing w:val="0"/>
        <w:rPr>
          <w:rFonts w:ascii="Gigi" w:hAnsi="Gigi"/>
          <w:sz w:val="36"/>
          <w:szCs w:val="36"/>
        </w:rPr>
      </w:pPr>
      <w:r w:rsidRPr="005E0EFB">
        <w:rPr>
          <w:rFonts w:ascii="Gigi" w:hAnsi="Gigi"/>
          <w:b/>
          <w:bCs/>
          <w:i/>
          <w:iCs/>
          <w:sz w:val="36"/>
          <w:szCs w:val="36"/>
        </w:rPr>
        <w:t>Angela Marsh</w:t>
      </w:r>
    </w:p>
    <w:p w:rsidR="005E0EFB" w:rsidRPr="005E0EFB" w:rsidRDefault="005E0EFB" w:rsidP="005E0EFB">
      <w:pPr>
        <w:pStyle w:val="ListParagraph"/>
        <w:spacing w:after="120"/>
        <w:ind w:left="-540"/>
        <w:contextualSpacing w:val="0"/>
        <w:rPr>
          <w:rFonts w:asciiTheme="minorHAnsi" w:hAnsiTheme="minorHAnsi"/>
          <w:sz w:val="20"/>
          <w:szCs w:val="20"/>
        </w:rPr>
      </w:pPr>
      <w:r w:rsidRPr="005E0EFB">
        <w:rPr>
          <w:rFonts w:asciiTheme="minorHAnsi" w:hAnsiTheme="minorHAnsi"/>
          <w:sz w:val="20"/>
          <w:szCs w:val="20"/>
        </w:rPr>
        <w:t>Angela Marsh</w:t>
      </w:r>
    </w:p>
    <w:p w:rsidR="005E0EFB" w:rsidRPr="005E0EFB" w:rsidRDefault="005E0EFB" w:rsidP="005E0EFB">
      <w:pPr>
        <w:pStyle w:val="ListParagraph"/>
        <w:spacing w:after="120"/>
        <w:ind w:left="-540"/>
        <w:jc w:val="both"/>
        <w:rPr>
          <w:rFonts w:asciiTheme="minorHAnsi" w:hAnsiTheme="minorHAnsi"/>
          <w:color w:val="3891A7"/>
          <w:sz w:val="16"/>
        </w:rPr>
      </w:pPr>
    </w:p>
    <w:p w:rsidR="005E0EFB" w:rsidRPr="00366A7E" w:rsidRDefault="005E0EFB" w:rsidP="00366A7E">
      <w:pPr>
        <w:ind w:left="-540" w:right="-270"/>
        <w:jc w:val="both"/>
      </w:pPr>
    </w:p>
    <w:p w:rsidR="00366A7E" w:rsidRDefault="00366A7E" w:rsidP="005E0EFB">
      <w:pPr>
        <w:spacing w:after="120"/>
        <w:ind w:left="-547" w:right="-446"/>
        <w:jc w:val="both"/>
      </w:pPr>
    </w:p>
    <w:sectPr w:rsidR="00366A7E" w:rsidSect="00366A7E">
      <w:headerReference w:type="default" r:id="rId7"/>
      <w:pgSz w:w="12240" w:h="15840"/>
      <w:pgMar w:top="630" w:right="1440" w:bottom="72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7E" w:rsidRDefault="00366A7E" w:rsidP="00366A7E">
      <w:pPr>
        <w:spacing w:after="0" w:line="240" w:lineRule="auto"/>
      </w:pPr>
      <w:r>
        <w:separator/>
      </w:r>
    </w:p>
  </w:endnote>
  <w:endnote w:type="continuationSeparator" w:id="0">
    <w:p w:rsidR="00366A7E" w:rsidRDefault="00366A7E" w:rsidP="0036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7E" w:rsidRDefault="00366A7E" w:rsidP="00366A7E">
      <w:pPr>
        <w:spacing w:after="0" w:line="240" w:lineRule="auto"/>
      </w:pPr>
      <w:r>
        <w:separator/>
      </w:r>
    </w:p>
  </w:footnote>
  <w:footnote w:type="continuationSeparator" w:id="0">
    <w:p w:rsidR="00366A7E" w:rsidRDefault="00366A7E" w:rsidP="00366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7E" w:rsidRPr="001A4965" w:rsidRDefault="00366A7E" w:rsidP="00366A7E">
    <w:pPr>
      <w:pStyle w:val="NoSpacing"/>
      <w:jc w:val="center"/>
      <w:rPr>
        <w:b/>
        <w:sz w:val="30"/>
        <w:szCs w:val="30"/>
      </w:rPr>
    </w:pPr>
    <w:r w:rsidRPr="001A4965">
      <w:rPr>
        <w:sz w:val="30"/>
        <w:szCs w:val="30"/>
      </w:rPr>
      <w:t>University of Connecticut &amp;</w:t>
    </w:r>
    <w:r>
      <w:rPr>
        <w:sz w:val="30"/>
        <w:szCs w:val="30"/>
      </w:rPr>
      <w:t xml:space="preserve"> </w:t>
    </w:r>
    <w:r w:rsidR="00650815">
      <w:rPr>
        <w:sz w:val="30"/>
        <w:szCs w:val="30"/>
      </w:rPr>
      <w:t>UConn Health</w:t>
    </w:r>
    <w:r w:rsidRPr="001A4965">
      <w:rPr>
        <w:sz w:val="30"/>
        <w:szCs w:val="30"/>
      </w:rPr>
      <w:t xml:space="preserve"> </w:t>
    </w:r>
    <w:r w:rsidRPr="001A4965">
      <w:rPr>
        <w:sz w:val="30"/>
        <w:szCs w:val="30"/>
      </w:rPr>
      <w:br/>
    </w:r>
    <w:r w:rsidRPr="001A4965">
      <w:rPr>
        <w:b/>
        <w:sz w:val="30"/>
        <w:szCs w:val="30"/>
      </w:rPr>
      <w:t>Joint Audit &amp; Compliance Committee</w:t>
    </w:r>
    <w:r>
      <w:rPr>
        <w:b/>
        <w:sz w:val="30"/>
        <w:szCs w:val="30"/>
      </w:rPr>
      <w:t xml:space="preserve"> </w:t>
    </w:r>
    <w:r w:rsidRPr="001A4965">
      <w:rPr>
        <w:b/>
        <w:sz w:val="30"/>
        <w:szCs w:val="30"/>
      </w:rPr>
      <w:t>Meeting</w:t>
    </w:r>
  </w:p>
  <w:p w:rsidR="00366A7E" w:rsidRPr="00240235" w:rsidRDefault="00366A7E" w:rsidP="00366A7E">
    <w:pPr>
      <w:pStyle w:val="NoSpacing"/>
      <w:jc w:val="center"/>
      <w:rPr>
        <w:b/>
        <w:sz w:val="20"/>
        <w:szCs w:val="20"/>
      </w:rPr>
    </w:pPr>
  </w:p>
  <w:p w:rsidR="00366A7E" w:rsidRPr="00366A7E" w:rsidRDefault="00366A7E" w:rsidP="00366A7E">
    <w:pPr>
      <w:pStyle w:val="NoSpacing"/>
      <w:tabs>
        <w:tab w:val="center" w:pos="4680"/>
      </w:tabs>
      <w:jc w:val="center"/>
      <w:rPr>
        <w:rFonts w:eastAsiaTheme="minorEastAsia"/>
        <w:iCs/>
        <w:color w:val="000000" w:themeColor="text1"/>
        <w:kern w:val="24"/>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EastAsia"/>
        <w:iCs/>
        <w:color w:val="000000" w:themeColor="text1"/>
        <w:kern w:val="24"/>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Minutes from </w:t>
    </w:r>
    <w:r w:rsidRPr="001A4965">
      <w:rPr>
        <w:rFonts w:eastAsiaTheme="minorEastAsia"/>
        <w:iCs/>
        <w:color w:val="000000" w:themeColor="text1"/>
        <w:kern w:val="24"/>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7700"/>
    <w:multiLevelType w:val="hybridMultilevel"/>
    <w:tmpl w:val="3138A27C"/>
    <w:lvl w:ilvl="0" w:tplc="F9060CA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8971D8"/>
    <w:multiLevelType w:val="hybridMultilevel"/>
    <w:tmpl w:val="923EE70A"/>
    <w:lvl w:ilvl="0" w:tplc="224AC5A8">
      <w:start w:val="1"/>
      <w:numFmt w:val="bullet"/>
      <w:lvlText w:val="•"/>
      <w:lvlJc w:val="left"/>
      <w:pPr>
        <w:tabs>
          <w:tab w:val="num" w:pos="720"/>
        </w:tabs>
        <w:ind w:left="720" w:hanging="360"/>
      </w:pPr>
      <w:rPr>
        <w:rFonts w:ascii="Arial" w:hAnsi="Arial" w:hint="default"/>
      </w:rPr>
    </w:lvl>
    <w:lvl w:ilvl="1" w:tplc="36BAF56C" w:tentative="1">
      <w:start w:val="1"/>
      <w:numFmt w:val="bullet"/>
      <w:lvlText w:val="•"/>
      <w:lvlJc w:val="left"/>
      <w:pPr>
        <w:tabs>
          <w:tab w:val="num" w:pos="1440"/>
        </w:tabs>
        <w:ind w:left="1440" w:hanging="360"/>
      </w:pPr>
      <w:rPr>
        <w:rFonts w:ascii="Arial" w:hAnsi="Arial" w:hint="default"/>
      </w:rPr>
    </w:lvl>
    <w:lvl w:ilvl="2" w:tplc="CFCAFC44" w:tentative="1">
      <w:start w:val="1"/>
      <w:numFmt w:val="bullet"/>
      <w:lvlText w:val="•"/>
      <w:lvlJc w:val="left"/>
      <w:pPr>
        <w:tabs>
          <w:tab w:val="num" w:pos="2160"/>
        </w:tabs>
        <w:ind w:left="2160" w:hanging="360"/>
      </w:pPr>
      <w:rPr>
        <w:rFonts w:ascii="Arial" w:hAnsi="Arial" w:hint="default"/>
      </w:rPr>
    </w:lvl>
    <w:lvl w:ilvl="3" w:tplc="794E2E1E" w:tentative="1">
      <w:start w:val="1"/>
      <w:numFmt w:val="bullet"/>
      <w:lvlText w:val="•"/>
      <w:lvlJc w:val="left"/>
      <w:pPr>
        <w:tabs>
          <w:tab w:val="num" w:pos="2880"/>
        </w:tabs>
        <w:ind w:left="2880" w:hanging="360"/>
      </w:pPr>
      <w:rPr>
        <w:rFonts w:ascii="Arial" w:hAnsi="Arial" w:hint="default"/>
      </w:rPr>
    </w:lvl>
    <w:lvl w:ilvl="4" w:tplc="C2B07DE0" w:tentative="1">
      <w:start w:val="1"/>
      <w:numFmt w:val="bullet"/>
      <w:lvlText w:val="•"/>
      <w:lvlJc w:val="left"/>
      <w:pPr>
        <w:tabs>
          <w:tab w:val="num" w:pos="3600"/>
        </w:tabs>
        <w:ind w:left="3600" w:hanging="360"/>
      </w:pPr>
      <w:rPr>
        <w:rFonts w:ascii="Arial" w:hAnsi="Arial" w:hint="default"/>
      </w:rPr>
    </w:lvl>
    <w:lvl w:ilvl="5" w:tplc="8C30B908" w:tentative="1">
      <w:start w:val="1"/>
      <w:numFmt w:val="bullet"/>
      <w:lvlText w:val="•"/>
      <w:lvlJc w:val="left"/>
      <w:pPr>
        <w:tabs>
          <w:tab w:val="num" w:pos="4320"/>
        </w:tabs>
        <w:ind w:left="4320" w:hanging="360"/>
      </w:pPr>
      <w:rPr>
        <w:rFonts w:ascii="Arial" w:hAnsi="Arial" w:hint="default"/>
      </w:rPr>
    </w:lvl>
    <w:lvl w:ilvl="6" w:tplc="E1F4EA98" w:tentative="1">
      <w:start w:val="1"/>
      <w:numFmt w:val="bullet"/>
      <w:lvlText w:val="•"/>
      <w:lvlJc w:val="left"/>
      <w:pPr>
        <w:tabs>
          <w:tab w:val="num" w:pos="5040"/>
        </w:tabs>
        <w:ind w:left="5040" w:hanging="360"/>
      </w:pPr>
      <w:rPr>
        <w:rFonts w:ascii="Arial" w:hAnsi="Arial" w:hint="default"/>
      </w:rPr>
    </w:lvl>
    <w:lvl w:ilvl="7" w:tplc="6E02AA4A" w:tentative="1">
      <w:start w:val="1"/>
      <w:numFmt w:val="bullet"/>
      <w:lvlText w:val="•"/>
      <w:lvlJc w:val="left"/>
      <w:pPr>
        <w:tabs>
          <w:tab w:val="num" w:pos="5760"/>
        </w:tabs>
        <w:ind w:left="5760" w:hanging="360"/>
      </w:pPr>
      <w:rPr>
        <w:rFonts w:ascii="Arial" w:hAnsi="Arial" w:hint="default"/>
      </w:rPr>
    </w:lvl>
    <w:lvl w:ilvl="8" w:tplc="7674D6D0" w:tentative="1">
      <w:start w:val="1"/>
      <w:numFmt w:val="bullet"/>
      <w:lvlText w:val="•"/>
      <w:lvlJc w:val="left"/>
      <w:pPr>
        <w:tabs>
          <w:tab w:val="num" w:pos="6480"/>
        </w:tabs>
        <w:ind w:left="6480" w:hanging="360"/>
      </w:pPr>
      <w:rPr>
        <w:rFonts w:ascii="Arial" w:hAnsi="Arial" w:hint="default"/>
      </w:rPr>
    </w:lvl>
  </w:abstractNum>
  <w:abstractNum w:abstractNumId="2">
    <w:nsid w:val="0E14460A"/>
    <w:multiLevelType w:val="hybridMultilevel"/>
    <w:tmpl w:val="6A2235C8"/>
    <w:lvl w:ilvl="0" w:tplc="CBC844B6">
      <w:start w:val="1"/>
      <w:numFmt w:val="bullet"/>
      <w:lvlText w:val="•"/>
      <w:lvlJc w:val="left"/>
      <w:pPr>
        <w:tabs>
          <w:tab w:val="num" w:pos="720"/>
        </w:tabs>
        <w:ind w:left="720" w:hanging="360"/>
      </w:pPr>
      <w:rPr>
        <w:rFonts w:ascii="Arial" w:hAnsi="Arial" w:hint="default"/>
      </w:rPr>
    </w:lvl>
    <w:lvl w:ilvl="1" w:tplc="591AB2EC" w:tentative="1">
      <w:start w:val="1"/>
      <w:numFmt w:val="bullet"/>
      <w:lvlText w:val="•"/>
      <w:lvlJc w:val="left"/>
      <w:pPr>
        <w:tabs>
          <w:tab w:val="num" w:pos="1440"/>
        </w:tabs>
        <w:ind w:left="1440" w:hanging="360"/>
      </w:pPr>
      <w:rPr>
        <w:rFonts w:ascii="Arial" w:hAnsi="Arial" w:hint="default"/>
      </w:rPr>
    </w:lvl>
    <w:lvl w:ilvl="2" w:tplc="9314E090" w:tentative="1">
      <w:start w:val="1"/>
      <w:numFmt w:val="bullet"/>
      <w:lvlText w:val="•"/>
      <w:lvlJc w:val="left"/>
      <w:pPr>
        <w:tabs>
          <w:tab w:val="num" w:pos="2160"/>
        </w:tabs>
        <w:ind w:left="2160" w:hanging="360"/>
      </w:pPr>
      <w:rPr>
        <w:rFonts w:ascii="Arial" w:hAnsi="Arial" w:hint="default"/>
      </w:rPr>
    </w:lvl>
    <w:lvl w:ilvl="3" w:tplc="A698C688" w:tentative="1">
      <w:start w:val="1"/>
      <w:numFmt w:val="bullet"/>
      <w:lvlText w:val="•"/>
      <w:lvlJc w:val="left"/>
      <w:pPr>
        <w:tabs>
          <w:tab w:val="num" w:pos="2880"/>
        </w:tabs>
        <w:ind w:left="2880" w:hanging="360"/>
      </w:pPr>
      <w:rPr>
        <w:rFonts w:ascii="Arial" w:hAnsi="Arial" w:hint="default"/>
      </w:rPr>
    </w:lvl>
    <w:lvl w:ilvl="4" w:tplc="0D62BC2A" w:tentative="1">
      <w:start w:val="1"/>
      <w:numFmt w:val="bullet"/>
      <w:lvlText w:val="•"/>
      <w:lvlJc w:val="left"/>
      <w:pPr>
        <w:tabs>
          <w:tab w:val="num" w:pos="3600"/>
        </w:tabs>
        <w:ind w:left="3600" w:hanging="360"/>
      </w:pPr>
      <w:rPr>
        <w:rFonts w:ascii="Arial" w:hAnsi="Arial" w:hint="default"/>
      </w:rPr>
    </w:lvl>
    <w:lvl w:ilvl="5" w:tplc="4562180A" w:tentative="1">
      <w:start w:val="1"/>
      <w:numFmt w:val="bullet"/>
      <w:lvlText w:val="•"/>
      <w:lvlJc w:val="left"/>
      <w:pPr>
        <w:tabs>
          <w:tab w:val="num" w:pos="4320"/>
        </w:tabs>
        <w:ind w:left="4320" w:hanging="360"/>
      </w:pPr>
      <w:rPr>
        <w:rFonts w:ascii="Arial" w:hAnsi="Arial" w:hint="default"/>
      </w:rPr>
    </w:lvl>
    <w:lvl w:ilvl="6" w:tplc="82964FFC" w:tentative="1">
      <w:start w:val="1"/>
      <w:numFmt w:val="bullet"/>
      <w:lvlText w:val="•"/>
      <w:lvlJc w:val="left"/>
      <w:pPr>
        <w:tabs>
          <w:tab w:val="num" w:pos="5040"/>
        </w:tabs>
        <w:ind w:left="5040" w:hanging="360"/>
      </w:pPr>
      <w:rPr>
        <w:rFonts w:ascii="Arial" w:hAnsi="Arial" w:hint="default"/>
      </w:rPr>
    </w:lvl>
    <w:lvl w:ilvl="7" w:tplc="0E808984" w:tentative="1">
      <w:start w:val="1"/>
      <w:numFmt w:val="bullet"/>
      <w:lvlText w:val="•"/>
      <w:lvlJc w:val="left"/>
      <w:pPr>
        <w:tabs>
          <w:tab w:val="num" w:pos="5760"/>
        </w:tabs>
        <w:ind w:left="5760" w:hanging="360"/>
      </w:pPr>
      <w:rPr>
        <w:rFonts w:ascii="Arial" w:hAnsi="Arial" w:hint="default"/>
      </w:rPr>
    </w:lvl>
    <w:lvl w:ilvl="8" w:tplc="EE1655AA" w:tentative="1">
      <w:start w:val="1"/>
      <w:numFmt w:val="bullet"/>
      <w:lvlText w:val="•"/>
      <w:lvlJc w:val="left"/>
      <w:pPr>
        <w:tabs>
          <w:tab w:val="num" w:pos="6480"/>
        </w:tabs>
        <w:ind w:left="6480" w:hanging="360"/>
      </w:pPr>
      <w:rPr>
        <w:rFonts w:ascii="Arial" w:hAnsi="Arial" w:hint="default"/>
      </w:rPr>
    </w:lvl>
  </w:abstractNum>
  <w:abstractNum w:abstractNumId="3">
    <w:nsid w:val="189E2846"/>
    <w:multiLevelType w:val="hybridMultilevel"/>
    <w:tmpl w:val="9000F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47496D"/>
    <w:multiLevelType w:val="hybridMultilevel"/>
    <w:tmpl w:val="5D0C118A"/>
    <w:lvl w:ilvl="0" w:tplc="1E3EAB10">
      <w:start w:val="1"/>
      <w:numFmt w:val="bullet"/>
      <w:lvlText w:val="•"/>
      <w:lvlJc w:val="left"/>
      <w:pPr>
        <w:tabs>
          <w:tab w:val="num" w:pos="720"/>
        </w:tabs>
        <w:ind w:left="720" w:hanging="360"/>
      </w:pPr>
      <w:rPr>
        <w:rFonts w:ascii="Arial" w:hAnsi="Arial" w:hint="default"/>
      </w:rPr>
    </w:lvl>
    <w:lvl w:ilvl="1" w:tplc="3ABA4F76" w:tentative="1">
      <w:start w:val="1"/>
      <w:numFmt w:val="bullet"/>
      <w:lvlText w:val="•"/>
      <w:lvlJc w:val="left"/>
      <w:pPr>
        <w:tabs>
          <w:tab w:val="num" w:pos="1440"/>
        </w:tabs>
        <w:ind w:left="1440" w:hanging="360"/>
      </w:pPr>
      <w:rPr>
        <w:rFonts w:ascii="Arial" w:hAnsi="Arial" w:hint="default"/>
      </w:rPr>
    </w:lvl>
    <w:lvl w:ilvl="2" w:tplc="C2E0AD24" w:tentative="1">
      <w:start w:val="1"/>
      <w:numFmt w:val="bullet"/>
      <w:lvlText w:val="•"/>
      <w:lvlJc w:val="left"/>
      <w:pPr>
        <w:tabs>
          <w:tab w:val="num" w:pos="2160"/>
        </w:tabs>
        <w:ind w:left="2160" w:hanging="360"/>
      </w:pPr>
      <w:rPr>
        <w:rFonts w:ascii="Arial" w:hAnsi="Arial" w:hint="default"/>
      </w:rPr>
    </w:lvl>
    <w:lvl w:ilvl="3" w:tplc="B930F260" w:tentative="1">
      <w:start w:val="1"/>
      <w:numFmt w:val="bullet"/>
      <w:lvlText w:val="•"/>
      <w:lvlJc w:val="left"/>
      <w:pPr>
        <w:tabs>
          <w:tab w:val="num" w:pos="2880"/>
        </w:tabs>
        <w:ind w:left="2880" w:hanging="360"/>
      </w:pPr>
      <w:rPr>
        <w:rFonts w:ascii="Arial" w:hAnsi="Arial" w:hint="default"/>
      </w:rPr>
    </w:lvl>
    <w:lvl w:ilvl="4" w:tplc="FCF84132" w:tentative="1">
      <w:start w:val="1"/>
      <w:numFmt w:val="bullet"/>
      <w:lvlText w:val="•"/>
      <w:lvlJc w:val="left"/>
      <w:pPr>
        <w:tabs>
          <w:tab w:val="num" w:pos="3600"/>
        </w:tabs>
        <w:ind w:left="3600" w:hanging="360"/>
      </w:pPr>
      <w:rPr>
        <w:rFonts w:ascii="Arial" w:hAnsi="Arial" w:hint="default"/>
      </w:rPr>
    </w:lvl>
    <w:lvl w:ilvl="5" w:tplc="83CE03F2" w:tentative="1">
      <w:start w:val="1"/>
      <w:numFmt w:val="bullet"/>
      <w:lvlText w:val="•"/>
      <w:lvlJc w:val="left"/>
      <w:pPr>
        <w:tabs>
          <w:tab w:val="num" w:pos="4320"/>
        </w:tabs>
        <w:ind w:left="4320" w:hanging="360"/>
      </w:pPr>
      <w:rPr>
        <w:rFonts w:ascii="Arial" w:hAnsi="Arial" w:hint="default"/>
      </w:rPr>
    </w:lvl>
    <w:lvl w:ilvl="6" w:tplc="9E00177E" w:tentative="1">
      <w:start w:val="1"/>
      <w:numFmt w:val="bullet"/>
      <w:lvlText w:val="•"/>
      <w:lvlJc w:val="left"/>
      <w:pPr>
        <w:tabs>
          <w:tab w:val="num" w:pos="5040"/>
        </w:tabs>
        <w:ind w:left="5040" w:hanging="360"/>
      </w:pPr>
      <w:rPr>
        <w:rFonts w:ascii="Arial" w:hAnsi="Arial" w:hint="default"/>
      </w:rPr>
    </w:lvl>
    <w:lvl w:ilvl="7" w:tplc="BE460722" w:tentative="1">
      <w:start w:val="1"/>
      <w:numFmt w:val="bullet"/>
      <w:lvlText w:val="•"/>
      <w:lvlJc w:val="left"/>
      <w:pPr>
        <w:tabs>
          <w:tab w:val="num" w:pos="5760"/>
        </w:tabs>
        <w:ind w:left="5760" w:hanging="360"/>
      </w:pPr>
      <w:rPr>
        <w:rFonts w:ascii="Arial" w:hAnsi="Arial" w:hint="default"/>
      </w:rPr>
    </w:lvl>
    <w:lvl w:ilvl="8" w:tplc="F9003862" w:tentative="1">
      <w:start w:val="1"/>
      <w:numFmt w:val="bullet"/>
      <w:lvlText w:val="•"/>
      <w:lvlJc w:val="left"/>
      <w:pPr>
        <w:tabs>
          <w:tab w:val="num" w:pos="6480"/>
        </w:tabs>
        <w:ind w:left="6480" w:hanging="360"/>
      </w:pPr>
      <w:rPr>
        <w:rFonts w:ascii="Arial" w:hAnsi="Arial" w:hint="default"/>
      </w:rPr>
    </w:lvl>
  </w:abstractNum>
  <w:abstractNum w:abstractNumId="5">
    <w:nsid w:val="4A71135C"/>
    <w:multiLevelType w:val="hybridMultilevel"/>
    <w:tmpl w:val="E61AFC56"/>
    <w:lvl w:ilvl="0" w:tplc="F9060CAA">
      <w:start w:val="1"/>
      <w:numFmt w:val="bullet"/>
      <w:lvlText w:val="•"/>
      <w:lvlJc w:val="left"/>
      <w:pPr>
        <w:tabs>
          <w:tab w:val="num" w:pos="720"/>
        </w:tabs>
        <w:ind w:left="720" w:hanging="360"/>
      </w:pPr>
      <w:rPr>
        <w:rFonts w:ascii="Arial" w:hAnsi="Arial" w:hint="default"/>
      </w:rPr>
    </w:lvl>
    <w:lvl w:ilvl="1" w:tplc="2E84D5C4" w:tentative="1">
      <w:start w:val="1"/>
      <w:numFmt w:val="bullet"/>
      <w:lvlText w:val="•"/>
      <w:lvlJc w:val="left"/>
      <w:pPr>
        <w:tabs>
          <w:tab w:val="num" w:pos="1440"/>
        </w:tabs>
        <w:ind w:left="1440" w:hanging="360"/>
      </w:pPr>
      <w:rPr>
        <w:rFonts w:ascii="Arial" w:hAnsi="Arial" w:hint="default"/>
      </w:rPr>
    </w:lvl>
    <w:lvl w:ilvl="2" w:tplc="49DE215E" w:tentative="1">
      <w:start w:val="1"/>
      <w:numFmt w:val="bullet"/>
      <w:lvlText w:val="•"/>
      <w:lvlJc w:val="left"/>
      <w:pPr>
        <w:tabs>
          <w:tab w:val="num" w:pos="2160"/>
        </w:tabs>
        <w:ind w:left="2160" w:hanging="360"/>
      </w:pPr>
      <w:rPr>
        <w:rFonts w:ascii="Arial" w:hAnsi="Arial" w:hint="default"/>
      </w:rPr>
    </w:lvl>
    <w:lvl w:ilvl="3" w:tplc="9E7A1D04" w:tentative="1">
      <w:start w:val="1"/>
      <w:numFmt w:val="bullet"/>
      <w:lvlText w:val="•"/>
      <w:lvlJc w:val="left"/>
      <w:pPr>
        <w:tabs>
          <w:tab w:val="num" w:pos="2880"/>
        </w:tabs>
        <w:ind w:left="2880" w:hanging="360"/>
      </w:pPr>
      <w:rPr>
        <w:rFonts w:ascii="Arial" w:hAnsi="Arial" w:hint="default"/>
      </w:rPr>
    </w:lvl>
    <w:lvl w:ilvl="4" w:tplc="AB8A6D8E" w:tentative="1">
      <w:start w:val="1"/>
      <w:numFmt w:val="bullet"/>
      <w:lvlText w:val="•"/>
      <w:lvlJc w:val="left"/>
      <w:pPr>
        <w:tabs>
          <w:tab w:val="num" w:pos="3600"/>
        </w:tabs>
        <w:ind w:left="3600" w:hanging="360"/>
      </w:pPr>
      <w:rPr>
        <w:rFonts w:ascii="Arial" w:hAnsi="Arial" w:hint="default"/>
      </w:rPr>
    </w:lvl>
    <w:lvl w:ilvl="5" w:tplc="69101C2A" w:tentative="1">
      <w:start w:val="1"/>
      <w:numFmt w:val="bullet"/>
      <w:lvlText w:val="•"/>
      <w:lvlJc w:val="left"/>
      <w:pPr>
        <w:tabs>
          <w:tab w:val="num" w:pos="4320"/>
        </w:tabs>
        <w:ind w:left="4320" w:hanging="360"/>
      </w:pPr>
      <w:rPr>
        <w:rFonts w:ascii="Arial" w:hAnsi="Arial" w:hint="default"/>
      </w:rPr>
    </w:lvl>
    <w:lvl w:ilvl="6" w:tplc="E9FE7B1A" w:tentative="1">
      <w:start w:val="1"/>
      <w:numFmt w:val="bullet"/>
      <w:lvlText w:val="•"/>
      <w:lvlJc w:val="left"/>
      <w:pPr>
        <w:tabs>
          <w:tab w:val="num" w:pos="5040"/>
        </w:tabs>
        <w:ind w:left="5040" w:hanging="360"/>
      </w:pPr>
      <w:rPr>
        <w:rFonts w:ascii="Arial" w:hAnsi="Arial" w:hint="default"/>
      </w:rPr>
    </w:lvl>
    <w:lvl w:ilvl="7" w:tplc="084ED530" w:tentative="1">
      <w:start w:val="1"/>
      <w:numFmt w:val="bullet"/>
      <w:lvlText w:val="•"/>
      <w:lvlJc w:val="left"/>
      <w:pPr>
        <w:tabs>
          <w:tab w:val="num" w:pos="5760"/>
        </w:tabs>
        <w:ind w:left="5760" w:hanging="360"/>
      </w:pPr>
      <w:rPr>
        <w:rFonts w:ascii="Arial" w:hAnsi="Arial" w:hint="default"/>
      </w:rPr>
    </w:lvl>
    <w:lvl w:ilvl="8" w:tplc="12CC9026" w:tentative="1">
      <w:start w:val="1"/>
      <w:numFmt w:val="bullet"/>
      <w:lvlText w:val="•"/>
      <w:lvlJc w:val="left"/>
      <w:pPr>
        <w:tabs>
          <w:tab w:val="num" w:pos="6480"/>
        </w:tabs>
        <w:ind w:left="6480" w:hanging="360"/>
      </w:pPr>
      <w:rPr>
        <w:rFonts w:ascii="Arial" w:hAnsi="Arial" w:hint="default"/>
      </w:rPr>
    </w:lvl>
  </w:abstractNum>
  <w:abstractNum w:abstractNumId="6">
    <w:nsid w:val="61122E5B"/>
    <w:multiLevelType w:val="hybridMultilevel"/>
    <w:tmpl w:val="159EC7E2"/>
    <w:lvl w:ilvl="0" w:tplc="CF72FB6C">
      <w:start w:val="1"/>
      <w:numFmt w:val="bullet"/>
      <w:lvlText w:val="•"/>
      <w:lvlJc w:val="left"/>
      <w:pPr>
        <w:tabs>
          <w:tab w:val="num" w:pos="720"/>
        </w:tabs>
        <w:ind w:left="720" w:hanging="360"/>
      </w:pPr>
      <w:rPr>
        <w:rFonts w:ascii="Arial" w:hAnsi="Arial" w:hint="default"/>
      </w:rPr>
    </w:lvl>
    <w:lvl w:ilvl="1" w:tplc="F850A370" w:tentative="1">
      <w:start w:val="1"/>
      <w:numFmt w:val="bullet"/>
      <w:lvlText w:val="•"/>
      <w:lvlJc w:val="left"/>
      <w:pPr>
        <w:tabs>
          <w:tab w:val="num" w:pos="1440"/>
        </w:tabs>
        <w:ind w:left="1440" w:hanging="360"/>
      </w:pPr>
      <w:rPr>
        <w:rFonts w:ascii="Arial" w:hAnsi="Arial" w:hint="default"/>
      </w:rPr>
    </w:lvl>
    <w:lvl w:ilvl="2" w:tplc="6AC45C5E" w:tentative="1">
      <w:start w:val="1"/>
      <w:numFmt w:val="bullet"/>
      <w:lvlText w:val="•"/>
      <w:lvlJc w:val="left"/>
      <w:pPr>
        <w:tabs>
          <w:tab w:val="num" w:pos="2160"/>
        </w:tabs>
        <w:ind w:left="2160" w:hanging="360"/>
      </w:pPr>
      <w:rPr>
        <w:rFonts w:ascii="Arial" w:hAnsi="Arial" w:hint="default"/>
      </w:rPr>
    </w:lvl>
    <w:lvl w:ilvl="3" w:tplc="0B7CF5A0" w:tentative="1">
      <w:start w:val="1"/>
      <w:numFmt w:val="bullet"/>
      <w:lvlText w:val="•"/>
      <w:lvlJc w:val="left"/>
      <w:pPr>
        <w:tabs>
          <w:tab w:val="num" w:pos="2880"/>
        </w:tabs>
        <w:ind w:left="2880" w:hanging="360"/>
      </w:pPr>
      <w:rPr>
        <w:rFonts w:ascii="Arial" w:hAnsi="Arial" w:hint="default"/>
      </w:rPr>
    </w:lvl>
    <w:lvl w:ilvl="4" w:tplc="AE52035C" w:tentative="1">
      <w:start w:val="1"/>
      <w:numFmt w:val="bullet"/>
      <w:lvlText w:val="•"/>
      <w:lvlJc w:val="left"/>
      <w:pPr>
        <w:tabs>
          <w:tab w:val="num" w:pos="3600"/>
        </w:tabs>
        <w:ind w:left="3600" w:hanging="360"/>
      </w:pPr>
      <w:rPr>
        <w:rFonts w:ascii="Arial" w:hAnsi="Arial" w:hint="default"/>
      </w:rPr>
    </w:lvl>
    <w:lvl w:ilvl="5" w:tplc="4ECAEE72" w:tentative="1">
      <w:start w:val="1"/>
      <w:numFmt w:val="bullet"/>
      <w:lvlText w:val="•"/>
      <w:lvlJc w:val="left"/>
      <w:pPr>
        <w:tabs>
          <w:tab w:val="num" w:pos="4320"/>
        </w:tabs>
        <w:ind w:left="4320" w:hanging="360"/>
      </w:pPr>
      <w:rPr>
        <w:rFonts w:ascii="Arial" w:hAnsi="Arial" w:hint="default"/>
      </w:rPr>
    </w:lvl>
    <w:lvl w:ilvl="6" w:tplc="0BC85574" w:tentative="1">
      <w:start w:val="1"/>
      <w:numFmt w:val="bullet"/>
      <w:lvlText w:val="•"/>
      <w:lvlJc w:val="left"/>
      <w:pPr>
        <w:tabs>
          <w:tab w:val="num" w:pos="5040"/>
        </w:tabs>
        <w:ind w:left="5040" w:hanging="360"/>
      </w:pPr>
      <w:rPr>
        <w:rFonts w:ascii="Arial" w:hAnsi="Arial" w:hint="default"/>
      </w:rPr>
    </w:lvl>
    <w:lvl w:ilvl="7" w:tplc="9898654A" w:tentative="1">
      <w:start w:val="1"/>
      <w:numFmt w:val="bullet"/>
      <w:lvlText w:val="•"/>
      <w:lvlJc w:val="left"/>
      <w:pPr>
        <w:tabs>
          <w:tab w:val="num" w:pos="5760"/>
        </w:tabs>
        <w:ind w:left="5760" w:hanging="360"/>
      </w:pPr>
      <w:rPr>
        <w:rFonts w:ascii="Arial" w:hAnsi="Arial" w:hint="default"/>
      </w:rPr>
    </w:lvl>
    <w:lvl w:ilvl="8" w:tplc="5D1206FE" w:tentative="1">
      <w:start w:val="1"/>
      <w:numFmt w:val="bullet"/>
      <w:lvlText w:val="•"/>
      <w:lvlJc w:val="left"/>
      <w:pPr>
        <w:tabs>
          <w:tab w:val="num" w:pos="6480"/>
        </w:tabs>
        <w:ind w:left="6480" w:hanging="360"/>
      </w:pPr>
      <w:rPr>
        <w:rFonts w:ascii="Arial" w:hAnsi="Arial" w:hint="default"/>
      </w:rPr>
    </w:lvl>
  </w:abstractNum>
  <w:abstractNum w:abstractNumId="7">
    <w:nsid w:val="78AC395E"/>
    <w:multiLevelType w:val="hybridMultilevel"/>
    <w:tmpl w:val="1610BDB4"/>
    <w:lvl w:ilvl="0" w:tplc="1D6040F2">
      <w:start w:val="1"/>
      <w:numFmt w:val="bullet"/>
      <w:lvlText w:val="•"/>
      <w:lvlJc w:val="left"/>
      <w:pPr>
        <w:tabs>
          <w:tab w:val="num" w:pos="720"/>
        </w:tabs>
        <w:ind w:left="720" w:hanging="360"/>
      </w:pPr>
      <w:rPr>
        <w:rFonts w:ascii="Arial" w:hAnsi="Arial" w:hint="default"/>
      </w:rPr>
    </w:lvl>
    <w:lvl w:ilvl="1" w:tplc="0BC03882" w:tentative="1">
      <w:start w:val="1"/>
      <w:numFmt w:val="bullet"/>
      <w:lvlText w:val="•"/>
      <w:lvlJc w:val="left"/>
      <w:pPr>
        <w:tabs>
          <w:tab w:val="num" w:pos="1440"/>
        </w:tabs>
        <w:ind w:left="1440" w:hanging="360"/>
      </w:pPr>
      <w:rPr>
        <w:rFonts w:ascii="Arial" w:hAnsi="Arial" w:hint="default"/>
      </w:rPr>
    </w:lvl>
    <w:lvl w:ilvl="2" w:tplc="4B8498A4" w:tentative="1">
      <w:start w:val="1"/>
      <w:numFmt w:val="bullet"/>
      <w:lvlText w:val="•"/>
      <w:lvlJc w:val="left"/>
      <w:pPr>
        <w:tabs>
          <w:tab w:val="num" w:pos="2160"/>
        </w:tabs>
        <w:ind w:left="2160" w:hanging="360"/>
      </w:pPr>
      <w:rPr>
        <w:rFonts w:ascii="Arial" w:hAnsi="Arial" w:hint="default"/>
      </w:rPr>
    </w:lvl>
    <w:lvl w:ilvl="3" w:tplc="35185BA0" w:tentative="1">
      <w:start w:val="1"/>
      <w:numFmt w:val="bullet"/>
      <w:lvlText w:val="•"/>
      <w:lvlJc w:val="left"/>
      <w:pPr>
        <w:tabs>
          <w:tab w:val="num" w:pos="2880"/>
        </w:tabs>
        <w:ind w:left="2880" w:hanging="360"/>
      </w:pPr>
      <w:rPr>
        <w:rFonts w:ascii="Arial" w:hAnsi="Arial" w:hint="default"/>
      </w:rPr>
    </w:lvl>
    <w:lvl w:ilvl="4" w:tplc="6FBC1A34" w:tentative="1">
      <w:start w:val="1"/>
      <w:numFmt w:val="bullet"/>
      <w:lvlText w:val="•"/>
      <w:lvlJc w:val="left"/>
      <w:pPr>
        <w:tabs>
          <w:tab w:val="num" w:pos="3600"/>
        </w:tabs>
        <w:ind w:left="3600" w:hanging="360"/>
      </w:pPr>
      <w:rPr>
        <w:rFonts w:ascii="Arial" w:hAnsi="Arial" w:hint="default"/>
      </w:rPr>
    </w:lvl>
    <w:lvl w:ilvl="5" w:tplc="B748E944" w:tentative="1">
      <w:start w:val="1"/>
      <w:numFmt w:val="bullet"/>
      <w:lvlText w:val="•"/>
      <w:lvlJc w:val="left"/>
      <w:pPr>
        <w:tabs>
          <w:tab w:val="num" w:pos="4320"/>
        </w:tabs>
        <w:ind w:left="4320" w:hanging="360"/>
      </w:pPr>
      <w:rPr>
        <w:rFonts w:ascii="Arial" w:hAnsi="Arial" w:hint="default"/>
      </w:rPr>
    </w:lvl>
    <w:lvl w:ilvl="6" w:tplc="68DC61C4" w:tentative="1">
      <w:start w:val="1"/>
      <w:numFmt w:val="bullet"/>
      <w:lvlText w:val="•"/>
      <w:lvlJc w:val="left"/>
      <w:pPr>
        <w:tabs>
          <w:tab w:val="num" w:pos="5040"/>
        </w:tabs>
        <w:ind w:left="5040" w:hanging="360"/>
      </w:pPr>
      <w:rPr>
        <w:rFonts w:ascii="Arial" w:hAnsi="Arial" w:hint="default"/>
      </w:rPr>
    </w:lvl>
    <w:lvl w:ilvl="7" w:tplc="010A418A" w:tentative="1">
      <w:start w:val="1"/>
      <w:numFmt w:val="bullet"/>
      <w:lvlText w:val="•"/>
      <w:lvlJc w:val="left"/>
      <w:pPr>
        <w:tabs>
          <w:tab w:val="num" w:pos="5760"/>
        </w:tabs>
        <w:ind w:left="5760" w:hanging="360"/>
      </w:pPr>
      <w:rPr>
        <w:rFonts w:ascii="Arial" w:hAnsi="Arial" w:hint="default"/>
      </w:rPr>
    </w:lvl>
    <w:lvl w:ilvl="8" w:tplc="A9F6D90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1"/>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7E"/>
    <w:rsid w:val="00240235"/>
    <w:rsid w:val="00331195"/>
    <w:rsid w:val="00366A7E"/>
    <w:rsid w:val="005E0EFB"/>
    <w:rsid w:val="00650815"/>
    <w:rsid w:val="006B2C2E"/>
    <w:rsid w:val="00701D63"/>
    <w:rsid w:val="00905400"/>
    <w:rsid w:val="00906DDB"/>
    <w:rsid w:val="00CA76E2"/>
    <w:rsid w:val="00CE6C13"/>
    <w:rsid w:val="00D30AC7"/>
    <w:rsid w:val="00E77D86"/>
    <w:rsid w:val="00FF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B3DC-ADB1-41FF-9CA3-0B8B35A2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A7E"/>
    <w:pPr>
      <w:spacing w:after="0" w:line="240" w:lineRule="auto"/>
    </w:pPr>
  </w:style>
  <w:style w:type="table" w:styleId="TableGrid">
    <w:name w:val="Table Grid"/>
    <w:basedOn w:val="TableNormal"/>
    <w:uiPriority w:val="39"/>
    <w:rsid w:val="0036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7E"/>
  </w:style>
  <w:style w:type="paragraph" w:styleId="Footer">
    <w:name w:val="footer"/>
    <w:basedOn w:val="Normal"/>
    <w:link w:val="FooterChar"/>
    <w:uiPriority w:val="99"/>
    <w:unhideWhenUsed/>
    <w:rsid w:val="00366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7E"/>
  </w:style>
  <w:style w:type="paragraph" w:styleId="NormalWeb">
    <w:name w:val="Normal (Web)"/>
    <w:basedOn w:val="Normal"/>
    <w:uiPriority w:val="99"/>
    <w:semiHidden/>
    <w:unhideWhenUsed/>
    <w:rsid w:val="005E0E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0EF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2515">
      <w:bodyDiv w:val="1"/>
      <w:marLeft w:val="0"/>
      <w:marRight w:val="0"/>
      <w:marTop w:val="0"/>
      <w:marBottom w:val="0"/>
      <w:divBdr>
        <w:top w:val="none" w:sz="0" w:space="0" w:color="auto"/>
        <w:left w:val="none" w:sz="0" w:space="0" w:color="auto"/>
        <w:bottom w:val="none" w:sz="0" w:space="0" w:color="auto"/>
        <w:right w:val="none" w:sz="0" w:space="0" w:color="auto"/>
      </w:divBdr>
      <w:divsChild>
        <w:div w:id="730005830">
          <w:marLeft w:val="274"/>
          <w:marRight w:val="0"/>
          <w:marTop w:val="0"/>
          <w:marBottom w:val="120"/>
          <w:divBdr>
            <w:top w:val="none" w:sz="0" w:space="0" w:color="auto"/>
            <w:left w:val="none" w:sz="0" w:space="0" w:color="auto"/>
            <w:bottom w:val="none" w:sz="0" w:space="0" w:color="auto"/>
            <w:right w:val="none" w:sz="0" w:space="0" w:color="auto"/>
          </w:divBdr>
        </w:div>
        <w:div w:id="1784617873">
          <w:marLeft w:val="274"/>
          <w:marRight w:val="0"/>
          <w:marTop w:val="0"/>
          <w:marBottom w:val="0"/>
          <w:divBdr>
            <w:top w:val="none" w:sz="0" w:space="0" w:color="auto"/>
            <w:left w:val="none" w:sz="0" w:space="0" w:color="auto"/>
            <w:bottom w:val="none" w:sz="0" w:space="0" w:color="auto"/>
            <w:right w:val="none" w:sz="0" w:space="0" w:color="auto"/>
          </w:divBdr>
        </w:div>
        <w:div w:id="1031030365">
          <w:marLeft w:val="274"/>
          <w:marRight w:val="0"/>
          <w:marTop w:val="0"/>
          <w:marBottom w:val="120"/>
          <w:divBdr>
            <w:top w:val="none" w:sz="0" w:space="0" w:color="auto"/>
            <w:left w:val="none" w:sz="0" w:space="0" w:color="auto"/>
            <w:bottom w:val="none" w:sz="0" w:space="0" w:color="auto"/>
            <w:right w:val="none" w:sz="0" w:space="0" w:color="auto"/>
          </w:divBdr>
        </w:div>
      </w:divsChild>
    </w:div>
    <w:div w:id="640618720">
      <w:bodyDiv w:val="1"/>
      <w:marLeft w:val="0"/>
      <w:marRight w:val="0"/>
      <w:marTop w:val="0"/>
      <w:marBottom w:val="0"/>
      <w:divBdr>
        <w:top w:val="none" w:sz="0" w:space="0" w:color="auto"/>
        <w:left w:val="none" w:sz="0" w:space="0" w:color="auto"/>
        <w:bottom w:val="none" w:sz="0" w:space="0" w:color="auto"/>
        <w:right w:val="none" w:sz="0" w:space="0" w:color="auto"/>
      </w:divBdr>
    </w:div>
    <w:div w:id="944773942">
      <w:bodyDiv w:val="1"/>
      <w:marLeft w:val="0"/>
      <w:marRight w:val="0"/>
      <w:marTop w:val="0"/>
      <w:marBottom w:val="0"/>
      <w:divBdr>
        <w:top w:val="none" w:sz="0" w:space="0" w:color="auto"/>
        <w:left w:val="none" w:sz="0" w:space="0" w:color="auto"/>
        <w:bottom w:val="none" w:sz="0" w:space="0" w:color="auto"/>
        <w:right w:val="none" w:sz="0" w:space="0" w:color="auto"/>
      </w:divBdr>
    </w:div>
    <w:div w:id="981736724">
      <w:bodyDiv w:val="1"/>
      <w:marLeft w:val="0"/>
      <w:marRight w:val="0"/>
      <w:marTop w:val="0"/>
      <w:marBottom w:val="0"/>
      <w:divBdr>
        <w:top w:val="none" w:sz="0" w:space="0" w:color="auto"/>
        <w:left w:val="none" w:sz="0" w:space="0" w:color="auto"/>
        <w:bottom w:val="none" w:sz="0" w:space="0" w:color="auto"/>
        <w:right w:val="none" w:sz="0" w:space="0" w:color="auto"/>
      </w:divBdr>
    </w:div>
    <w:div w:id="993877850">
      <w:bodyDiv w:val="1"/>
      <w:marLeft w:val="0"/>
      <w:marRight w:val="0"/>
      <w:marTop w:val="0"/>
      <w:marBottom w:val="0"/>
      <w:divBdr>
        <w:top w:val="none" w:sz="0" w:space="0" w:color="auto"/>
        <w:left w:val="none" w:sz="0" w:space="0" w:color="auto"/>
        <w:bottom w:val="none" w:sz="0" w:space="0" w:color="auto"/>
        <w:right w:val="none" w:sz="0" w:space="0" w:color="auto"/>
      </w:divBdr>
      <w:divsChild>
        <w:div w:id="801844774">
          <w:marLeft w:val="317"/>
          <w:marRight w:val="0"/>
          <w:marTop w:val="0"/>
          <w:marBottom w:val="120"/>
          <w:divBdr>
            <w:top w:val="none" w:sz="0" w:space="0" w:color="auto"/>
            <w:left w:val="none" w:sz="0" w:space="0" w:color="auto"/>
            <w:bottom w:val="none" w:sz="0" w:space="0" w:color="auto"/>
            <w:right w:val="none" w:sz="0" w:space="0" w:color="auto"/>
          </w:divBdr>
        </w:div>
        <w:div w:id="1343387742">
          <w:marLeft w:val="317"/>
          <w:marRight w:val="0"/>
          <w:marTop w:val="0"/>
          <w:marBottom w:val="120"/>
          <w:divBdr>
            <w:top w:val="none" w:sz="0" w:space="0" w:color="auto"/>
            <w:left w:val="none" w:sz="0" w:space="0" w:color="auto"/>
            <w:bottom w:val="none" w:sz="0" w:space="0" w:color="auto"/>
            <w:right w:val="none" w:sz="0" w:space="0" w:color="auto"/>
          </w:divBdr>
        </w:div>
        <w:div w:id="2146000532">
          <w:marLeft w:val="317"/>
          <w:marRight w:val="0"/>
          <w:marTop w:val="0"/>
          <w:marBottom w:val="120"/>
          <w:divBdr>
            <w:top w:val="none" w:sz="0" w:space="0" w:color="auto"/>
            <w:left w:val="none" w:sz="0" w:space="0" w:color="auto"/>
            <w:bottom w:val="none" w:sz="0" w:space="0" w:color="auto"/>
            <w:right w:val="none" w:sz="0" w:space="0" w:color="auto"/>
          </w:divBdr>
        </w:div>
        <w:div w:id="497616566">
          <w:marLeft w:val="317"/>
          <w:marRight w:val="0"/>
          <w:marTop w:val="0"/>
          <w:marBottom w:val="120"/>
          <w:divBdr>
            <w:top w:val="none" w:sz="0" w:space="0" w:color="auto"/>
            <w:left w:val="none" w:sz="0" w:space="0" w:color="auto"/>
            <w:bottom w:val="none" w:sz="0" w:space="0" w:color="auto"/>
            <w:right w:val="none" w:sz="0" w:space="0" w:color="auto"/>
          </w:divBdr>
        </w:div>
        <w:div w:id="935405314">
          <w:marLeft w:val="317"/>
          <w:marRight w:val="0"/>
          <w:marTop w:val="0"/>
          <w:marBottom w:val="120"/>
          <w:divBdr>
            <w:top w:val="none" w:sz="0" w:space="0" w:color="auto"/>
            <w:left w:val="none" w:sz="0" w:space="0" w:color="auto"/>
            <w:bottom w:val="none" w:sz="0" w:space="0" w:color="auto"/>
            <w:right w:val="none" w:sz="0" w:space="0" w:color="auto"/>
          </w:divBdr>
        </w:div>
        <w:div w:id="1952276652">
          <w:marLeft w:val="317"/>
          <w:marRight w:val="0"/>
          <w:marTop w:val="0"/>
          <w:marBottom w:val="120"/>
          <w:divBdr>
            <w:top w:val="none" w:sz="0" w:space="0" w:color="auto"/>
            <w:left w:val="none" w:sz="0" w:space="0" w:color="auto"/>
            <w:bottom w:val="none" w:sz="0" w:space="0" w:color="auto"/>
            <w:right w:val="none" w:sz="0" w:space="0" w:color="auto"/>
          </w:divBdr>
        </w:div>
        <w:div w:id="56711141">
          <w:marLeft w:val="317"/>
          <w:marRight w:val="0"/>
          <w:marTop w:val="0"/>
          <w:marBottom w:val="120"/>
          <w:divBdr>
            <w:top w:val="none" w:sz="0" w:space="0" w:color="auto"/>
            <w:left w:val="none" w:sz="0" w:space="0" w:color="auto"/>
            <w:bottom w:val="none" w:sz="0" w:space="0" w:color="auto"/>
            <w:right w:val="none" w:sz="0" w:space="0" w:color="auto"/>
          </w:divBdr>
        </w:div>
        <w:div w:id="912663533">
          <w:marLeft w:val="317"/>
          <w:marRight w:val="0"/>
          <w:marTop w:val="0"/>
          <w:marBottom w:val="120"/>
          <w:divBdr>
            <w:top w:val="none" w:sz="0" w:space="0" w:color="auto"/>
            <w:left w:val="none" w:sz="0" w:space="0" w:color="auto"/>
            <w:bottom w:val="none" w:sz="0" w:space="0" w:color="auto"/>
            <w:right w:val="none" w:sz="0" w:space="0" w:color="auto"/>
          </w:divBdr>
        </w:div>
      </w:divsChild>
    </w:div>
    <w:div w:id="1846556388">
      <w:bodyDiv w:val="1"/>
      <w:marLeft w:val="0"/>
      <w:marRight w:val="0"/>
      <w:marTop w:val="0"/>
      <w:marBottom w:val="0"/>
      <w:divBdr>
        <w:top w:val="none" w:sz="0" w:space="0" w:color="auto"/>
        <w:left w:val="none" w:sz="0" w:space="0" w:color="auto"/>
        <w:bottom w:val="none" w:sz="0" w:space="0" w:color="auto"/>
        <w:right w:val="none" w:sz="0" w:space="0" w:color="auto"/>
      </w:divBdr>
    </w:div>
    <w:div w:id="1991133658">
      <w:bodyDiv w:val="1"/>
      <w:marLeft w:val="0"/>
      <w:marRight w:val="0"/>
      <w:marTop w:val="0"/>
      <w:marBottom w:val="0"/>
      <w:divBdr>
        <w:top w:val="none" w:sz="0" w:space="0" w:color="auto"/>
        <w:left w:val="none" w:sz="0" w:space="0" w:color="auto"/>
        <w:bottom w:val="none" w:sz="0" w:space="0" w:color="auto"/>
        <w:right w:val="none" w:sz="0" w:space="0" w:color="auto"/>
      </w:divBdr>
      <w:divsChild>
        <w:div w:id="1364403039">
          <w:marLeft w:val="360"/>
          <w:marRight w:val="0"/>
          <w:marTop w:val="0"/>
          <w:marBottom w:val="120"/>
          <w:divBdr>
            <w:top w:val="none" w:sz="0" w:space="0" w:color="auto"/>
            <w:left w:val="none" w:sz="0" w:space="0" w:color="auto"/>
            <w:bottom w:val="none" w:sz="0" w:space="0" w:color="auto"/>
            <w:right w:val="none" w:sz="0" w:space="0" w:color="auto"/>
          </w:divBdr>
        </w:div>
        <w:div w:id="1485513426">
          <w:marLeft w:val="360"/>
          <w:marRight w:val="0"/>
          <w:marTop w:val="0"/>
          <w:marBottom w:val="120"/>
          <w:divBdr>
            <w:top w:val="none" w:sz="0" w:space="0" w:color="auto"/>
            <w:left w:val="none" w:sz="0" w:space="0" w:color="auto"/>
            <w:bottom w:val="none" w:sz="0" w:space="0" w:color="auto"/>
            <w:right w:val="none" w:sz="0" w:space="0" w:color="auto"/>
          </w:divBdr>
        </w:div>
        <w:div w:id="1153372573">
          <w:marLeft w:val="360"/>
          <w:marRight w:val="0"/>
          <w:marTop w:val="0"/>
          <w:marBottom w:val="120"/>
          <w:divBdr>
            <w:top w:val="none" w:sz="0" w:space="0" w:color="auto"/>
            <w:left w:val="none" w:sz="0" w:space="0" w:color="auto"/>
            <w:bottom w:val="none" w:sz="0" w:space="0" w:color="auto"/>
            <w:right w:val="none" w:sz="0" w:space="0" w:color="auto"/>
          </w:divBdr>
        </w:div>
        <w:div w:id="413207492">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Angela</dc:creator>
  <cp:keywords/>
  <dc:description/>
  <cp:lastModifiedBy>Violette, Karen</cp:lastModifiedBy>
  <cp:revision>2</cp:revision>
  <dcterms:created xsi:type="dcterms:W3CDTF">2015-12-01T19:12:00Z</dcterms:created>
  <dcterms:modified xsi:type="dcterms:W3CDTF">2015-12-01T19:12:00Z</dcterms:modified>
</cp:coreProperties>
</file>